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1F79A0" w:rsidRDefault="00A92CC3">
      <w:pPr>
        <w:pStyle w:val="Ttulo1"/>
        <w:spacing w:before="92"/>
        <w:ind w:firstLine="107"/>
        <w:jc w:val="both"/>
        <w:rPr>
          <w:rFonts w:ascii="Verdana" w:eastAsia="Verdana" w:hAnsi="Verdana" w:cs="Verdana"/>
          <w:u w:val="none"/>
        </w:rPr>
      </w:pPr>
      <w:r>
        <w:rPr>
          <w:rFonts w:ascii="Verdana" w:eastAsia="Verdana" w:hAnsi="Verdana" w:cs="Verdana"/>
          <w:b w:val="0"/>
          <w:bCs w:val="0"/>
        </w:rPr>
        <w:t>CARRERA</w:t>
      </w:r>
      <w:r>
        <w:rPr>
          <w:rFonts w:ascii="Verdana" w:eastAsia="Verdana" w:hAnsi="Verdana" w:cs="Verdana"/>
          <w:b w:val="0"/>
          <w:bCs w:val="0"/>
          <w:u w:val="none"/>
        </w:rPr>
        <w:t xml:space="preserve">: </w:t>
      </w:r>
      <w:r w:rsidR="003803BE">
        <w:rPr>
          <w:rFonts w:ascii="Verdana" w:eastAsia="Verdana" w:hAnsi="Verdana" w:cs="Verdana"/>
          <w:u w:val="none"/>
        </w:rPr>
        <w:t>PROFESORADO DE EDUCACIÓN SECUNDARIA EN BIOLOGÍA</w:t>
      </w:r>
    </w:p>
    <w:p w:rsidR="001F79A0" w:rsidRDefault="00A92CC3">
      <w:pPr>
        <w:spacing w:before="1"/>
        <w:ind w:left="107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CURSOY COMISIÓN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r w:rsidR="003803BE">
        <w:rPr>
          <w:rFonts w:ascii="Verdana" w:eastAsia="Verdana" w:hAnsi="Verdana" w:cs="Verdana"/>
          <w:sz w:val="24"/>
          <w:szCs w:val="24"/>
        </w:rPr>
        <w:t>2DO B</w:t>
      </w:r>
      <w:bookmarkStart w:id="0" w:name="_GoBack"/>
      <w:bookmarkEnd w:id="0"/>
    </w:p>
    <w:p w:rsidR="001F79A0" w:rsidRDefault="00A92CC3">
      <w:pPr>
        <w:ind w:left="107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PERSPECTIVA /ESPACIO CURRICULAR /MATERIA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r>
        <w:rPr>
          <w:rFonts w:ascii="Verdana" w:eastAsia="Verdana" w:hAnsi="Verdana" w:cs="Verdana"/>
          <w:b/>
          <w:bCs/>
          <w:sz w:val="24"/>
          <w:szCs w:val="24"/>
        </w:rPr>
        <w:t>DIDÁCTICA Y CURRICULUM</w:t>
      </w:r>
    </w:p>
    <w:p w:rsidR="001F79A0" w:rsidRDefault="00A92CC3">
      <w:pPr>
        <w:ind w:left="107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DOCENTE</w:t>
      </w:r>
      <w:r>
        <w:rPr>
          <w:rFonts w:ascii="Verdana" w:eastAsia="Verdana" w:hAnsi="Verdana" w:cs="Verdana"/>
          <w:sz w:val="24"/>
          <w:szCs w:val="24"/>
        </w:rPr>
        <w:t>:</w:t>
      </w:r>
    </w:p>
    <w:p w:rsidR="001F79A0" w:rsidRDefault="00A92CC3">
      <w:pPr>
        <w:ind w:left="107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Lic. Y Prof. Zulema Magnifico</w:t>
      </w:r>
    </w:p>
    <w:p w:rsidR="001F79A0" w:rsidRDefault="00A92CC3">
      <w:pPr>
        <w:ind w:left="107" w:right="5136"/>
        <w:jc w:val="both"/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sz w:val="24"/>
          <w:szCs w:val="24"/>
          <w:u w:val="single"/>
        </w:rPr>
        <w:t xml:space="preserve">HORAS DE CLASES SEMANALES: </w:t>
      </w:r>
    </w:p>
    <w:p w:rsidR="001F79A0" w:rsidRDefault="00A92CC3">
      <w:pPr>
        <w:ind w:left="107" w:right="513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 módulos</w:t>
      </w:r>
    </w:p>
    <w:p w:rsidR="001F79A0" w:rsidRDefault="00A92CC3">
      <w:pPr>
        <w:ind w:left="107" w:right="5136"/>
        <w:jc w:val="both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CICLO LECTIVO</w:t>
      </w:r>
      <w:r>
        <w:rPr>
          <w:rFonts w:ascii="Verdana" w:eastAsia="Verdana" w:hAnsi="Verdana" w:cs="Verdana"/>
          <w:sz w:val="24"/>
          <w:szCs w:val="24"/>
        </w:rPr>
        <w:t xml:space="preserve">: </w:t>
      </w:r>
      <w:r>
        <w:rPr>
          <w:rFonts w:ascii="Verdana" w:eastAsia="Verdana" w:hAnsi="Verdana" w:cs="Verdana"/>
          <w:b/>
          <w:bCs/>
          <w:sz w:val="24"/>
          <w:szCs w:val="24"/>
        </w:rPr>
        <w:t>2026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</w:p>
    <w:p w:rsidR="001F79A0" w:rsidRDefault="00A92CC3">
      <w:pPr>
        <w:pStyle w:val="Ttulo1"/>
        <w:spacing w:before="93"/>
        <w:ind w:firstLine="107"/>
        <w:jc w:val="both"/>
        <w:rPr>
          <w:rFonts w:ascii="Verdana" w:eastAsia="Verdana" w:hAnsi="Verdana" w:cs="Verdana"/>
          <w:u w:val="none"/>
        </w:rPr>
      </w:pPr>
      <w:r>
        <w:rPr>
          <w:rFonts w:ascii="Verdana" w:eastAsia="Verdana" w:hAnsi="Verdana" w:cs="Verdana"/>
        </w:rPr>
        <w:t>EXPECTATIVAS DE LOGRO: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Comprender los aspectos epistemológicos, metodológicos y sociales que participan en las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situaciones de aprendizaje.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Análisis del currículum como organización institucional y rector de los procesos de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enseñanza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y su relación con el quehacer psicopedag</w:t>
      </w:r>
      <w:r>
        <w:rPr>
          <w:rFonts w:ascii="Verdana" w:eastAsia="Verdana" w:hAnsi="Verdana" w:cs="Verdana"/>
          <w:color w:val="000000"/>
          <w:sz w:val="24"/>
          <w:szCs w:val="24"/>
        </w:rPr>
        <w:t>ógico.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Problematizar los contenidos, su selección y distribución.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Generar actitudes de tolerancia, cooperación y honestidad en la formación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específicamente didáctica y en el desempeño de la práctica psicopedagógica, promoviendo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el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respeto de las diferencias y la crítica frente a las desigualdades.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Acercamiento de los alumnos a las nociones y problemáticas propias de la tarea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docente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>: cultura, saberes, enseñanza, contenidos, aprendizaje, conocimientos, los vínculos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entre estas y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los actores involucrados en la actividad docente.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Comprensión del por qué y para qué de la didáctica como instrumento del quehacer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cotidiano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de las prácticas docentes.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 Iniciar en la reflexión sobre la realidad educativa actual y sus connotaciones en l</w:t>
      </w:r>
      <w:r>
        <w:rPr>
          <w:rFonts w:ascii="Verdana" w:eastAsia="Verdana" w:hAnsi="Verdana" w:cs="Verdana"/>
          <w:color w:val="000000"/>
          <w:sz w:val="24"/>
          <w:szCs w:val="24"/>
        </w:rPr>
        <w:t>a</w:t>
      </w:r>
    </w:p>
    <w:p w:rsidR="001F79A0" w:rsidRDefault="00A92CC3" w:rsidP="00675B5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conformación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de subjetividades.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  <w:u w:val="single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  <w:u w:val="single"/>
        </w:rPr>
        <w:t>CONTENIDOS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bookmarkStart w:id="1" w:name="_heading=h.ilayqin0k16l" w:colFirst="0" w:colLast="0"/>
      <w:bookmarkEnd w:id="1"/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UNIDAD I: La educación, el conocimiento: cuestión pedagógica- didáctica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Nuevos sentidos de la transmisión: la tensión entre conservar y transformar la cultura. La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enseñanza: prácticas complejas situadas como objeto de estudio de la </w:t>
      </w: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didáctica. </w:t>
      </w:r>
      <w:r>
        <w:rPr>
          <w:rFonts w:ascii="Verdana" w:eastAsia="Verdana" w:hAnsi="Verdana" w:cs="Verdana"/>
          <w:color w:val="000000"/>
          <w:sz w:val="24"/>
          <w:szCs w:val="24"/>
        </w:rPr>
        <w:t>La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dimensión pedagógico- didáctica.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La Didáctica y su relación con otras disciplinas.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Didáctica general y didácticas especializadas en campos de conocimientos</w:t>
      </w:r>
      <w:r>
        <w:rPr>
          <w:rFonts w:ascii="Verdana" w:eastAsia="Verdana" w:hAnsi="Verdana" w:cs="Verdana"/>
          <w:sz w:val="24"/>
          <w:szCs w:val="24"/>
        </w:rPr>
        <w:t xml:space="preserve">. </w:t>
      </w:r>
      <w:r>
        <w:rPr>
          <w:rFonts w:ascii="Verdana" w:eastAsia="Verdana" w:hAnsi="Verdana" w:cs="Verdana"/>
          <w:color w:val="000000"/>
          <w:sz w:val="24"/>
          <w:szCs w:val="24"/>
        </w:rPr>
        <w:t>La enseñanza. La e</w:t>
      </w:r>
      <w:r>
        <w:rPr>
          <w:rFonts w:ascii="Verdana" w:eastAsia="Verdana" w:hAnsi="Verdana" w:cs="Verdana"/>
          <w:color w:val="000000"/>
          <w:sz w:val="24"/>
          <w:szCs w:val="24"/>
        </w:rPr>
        <w:t>nseñanza con sistema. La enseñanza como actividad.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Enseñar – Aprender. Vínculos entre los procesos.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Modelos y enfoque de enseñanza. Rasgos generales de los enfoques de</w:t>
      </w:r>
      <w:r>
        <w:rPr>
          <w:rFonts w:ascii="Verdana" w:eastAsia="Verdana" w:hAnsi="Verdana" w:cs="Verdana"/>
          <w:sz w:val="24"/>
          <w:szCs w:val="24"/>
        </w:rPr>
        <w:t xml:space="preserve"> e</w:t>
      </w:r>
      <w:r>
        <w:rPr>
          <w:rFonts w:ascii="Verdana" w:eastAsia="Verdana" w:hAnsi="Verdana" w:cs="Verdana"/>
          <w:color w:val="000000"/>
          <w:sz w:val="24"/>
          <w:szCs w:val="24"/>
        </w:rPr>
        <w:t>nseñanza. La clase escolar. Complejidad.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Transposición didáctica.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Relación teoría práctic</w:t>
      </w:r>
      <w:r>
        <w:rPr>
          <w:rFonts w:ascii="Verdana" w:eastAsia="Verdana" w:hAnsi="Verdana" w:cs="Verdana"/>
          <w:color w:val="000000"/>
          <w:sz w:val="24"/>
          <w:szCs w:val="24"/>
        </w:rPr>
        <w:t>a.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bookmarkStart w:id="2" w:name="_heading=h.h00bbm46wvzg" w:colFirst="0" w:colLast="0"/>
      <w:bookmarkEnd w:id="2"/>
    </w:p>
    <w:p w:rsidR="001F79A0" w:rsidRDefault="00A92CC3">
      <w:pPr>
        <w:pStyle w:val="Ttulo2"/>
        <w:spacing w:before="2"/>
        <w:ind w:left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Bibliografía obligatoria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Steiman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>, Jorge (2010) “¿Qué debatimos hoy en la didác</w:t>
      </w:r>
      <w:r w:rsidR="00675B50">
        <w:rPr>
          <w:rFonts w:ascii="Verdana" w:eastAsia="Verdana" w:hAnsi="Verdana" w:cs="Verdana"/>
          <w:color w:val="000000"/>
          <w:sz w:val="24"/>
          <w:szCs w:val="24"/>
        </w:rPr>
        <w:t xml:space="preserve">tica? Las prácticas de enseñanza </w:t>
      </w:r>
      <w:r>
        <w:rPr>
          <w:rFonts w:ascii="Verdana" w:eastAsia="Verdana" w:hAnsi="Verdana" w:cs="Verdana"/>
          <w:color w:val="000000"/>
          <w:sz w:val="24"/>
          <w:szCs w:val="24"/>
        </w:rPr>
        <w:t>en la Educación Superior”. Cap. I. UNSAM. Jorge Baudino Ediciones. Bs. As.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sz w:val="24"/>
          <w:szCs w:val="24"/>
        </w:rPr>
        <w:t>amilloni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>, A. (2007). “El saber didáctico”. Capítulo I- II- III- IV- V- VI. Ed. Paidós. Bs. As.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</w:t>
      </w:r>
      <w:r>
        <w:rPr>
          <w:rFonts w:ascii="Verdana" w:eastAsia="Verdana" w:hAnsi="Verdana" w:cs="Verdana"/>
          <w:sz w:val="24"/>
          <w:szCs w:val="24"/>
        </w:rPr>
        <w:t>amilloni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>, A. (2008). “Corrientes Didácticas Contemporáneas”. Capítulo I- II- III. Ed.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Paidós. Bs. As.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spacing w:before="2"/>
        <w:ind w:right="323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Furman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, </w:t>
      </w: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M(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>2022): Las preguntas educativas entran a las aulas. Epis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odio 1.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Metacognición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>: ¿cómo formar estudiantes capaces de regular su propio proceso de aprendizaje? Fragmentos. Santillana. CABA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spacing w:before="2"/>
        <w:ind w:right="323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Sanjurjo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, L. (2019): volver a </w:t>
      </w:r>
      <w:r>
        <w:rPr>
          <w:rFonts w:ascii="Verdana" w:eastAsia="Verdana" w:hAnsi="Verdana" w:cs="Verdana"/>
          <w:sz w:val="24"/>
          <w:szCs w:val="24"/>
        </w:rPr>
        <w:t>pensar en la clase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. Fragmentos de Cap. III.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HomoSapiens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>. Rosario.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Tiempo estimado: mayo- junio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24"/>
          <w:szCs w:val="24"/>
        </w:rPr>
        <w:t>UNIDAD II:</w:t>
      </w:r>
      <w:r w:rsidR="00675B50">
        <w:rPr>
          <w:rFonts w:ascii="Verdana" w:eastAsia="Verdana" w:hAnsi="Verdana" w:cs="Verdana"/>
          <w:b/>
          <w:bCs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  <w:t>Organización y desarrollo curricular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. Orígenes del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. El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como cuerpo organizado de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conocimiento, como declaración de objetivos y/o como plan integral de enseñanza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Perspectiva sociológica del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oculto.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como articulación de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prácticas diversas. Perspectiva pedagógica.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como proyecto práctico de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elaboración colectiva.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Niveles de concreción curricular. La planificación institucio</w:t>
      </w:r>
      <w:r>
        <w:rPr>
          <w:rFonts w:ascii="Verdana" w:eastAsia="Verdana" w:hAnsi="Verdana" w:cs="Verdana"/>
          <w:color w:val="000000"/>
          <w:sz w:val="24"/>
          <w:szCs w:val="24"/>
        </w:rPr>
        <w:t>nal. Definición. Estado actual. La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planificación institucional y didáctica desde la perspectiva de las trayectorias educativas de los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estudiantes.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A92CC3">
      <w:pPr>
        <w:pStyle w:val="Ttulo2"/>
        <w:spacing w:before="2"/>
        <w:ind w:left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Bibliografía obligatoria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Teriggi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, Flavia (1999). “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, itinerario para aprehender un territorio”. Cap. I. 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Cap.III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 y Cap. VI. Ed. Santillana. Bs. As.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Chevallar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Ives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 (1998). “la transposición didáctica: El saber sabio al saber enseñado”.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Cap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. I y II. Ed. 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Aique</w:t>
      </w:r>
      <w:proofErr w:type="spell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. Bs. As.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Jackso</w:t>
      </w: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n, </w:t>
      </w:r>
      <w:r>
        <w:rPr>
          <w:rFonts w:ascii="Verdana" w:eastAsia="Verdana" w:hAnsi="Verdana" w:cs="Verdana"/>
          <w:i/>
          <w:iCs/>
          <w:sz w:val="24"/>
          <w:szCs w:val="24"/>
        </w:rPr>
        <w:t>PH</w:t>
      </w: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 (1994). “La vida en las aulas”. Ed. Morata. Madrid. 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L</w:t>
      </w:r>
      <w:r>
        <w:rPr>
          <w:rFonts w:ascii="Verdana" w:eastAsia="Verdana" w:hAnsi="Verdana" w:cs="Verdana"/>
          <w:i/>
          <w:iCs/>
          <w:sz w:val="24"/>
          <w:szCs w:val="24"/>
        </w:rPr>
        <w:t>ópez, Mónica</w:t>
      </w:r>
      <w:r w:rsidR="00675B50">
        <w:rPr>
          <w:rFonts w:ascii="Verdana" w:eastAsia="Verdana" w:hAnsi="Verdana" w:cs="Verdana"/>
          <w:i/>
          <w:iCs/>
          <w:sz w:val="24"/>
          <w:szCs w:val="24"/>
        </w:rPr>
        <w:t xml:space="preserve"> </w:t>
      </w: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(2019) </w:t>
      </w:r>
      <w:proofErr w:type="gram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“ Herramientas</w:t>
      </w:r>
      <w:proofErr w:type="gramEnd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 xml:space="preserve"> para planificar la enseñanza”, LIBRO I , Ed. </w:t>
      </w:r>
      <w:proofErr w:type="spellStart"/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Aiqué</w:t>
      </w:r>
      <w:proofErr w:type="spellEnd"/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i/>
          <w:iCs/>
          <w:sz w:val="24"/>
          <w:szCs w:val="24"/>
        </w:rPr>
      </w:pP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  <w:t>Tiempo estimado: junio- agosto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675B50" w:rsidRDefault="00675B50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1F79A0">
      <w:pPr>
        <w:jc w:val="both"/>
        <w:rPr>
          <w:rFonts w:ascii="Verdana" w:eastAsia="Verdana" w:hAnsi="Verdana" w:cs="Verdana"/>
          <w:b/>
          <w:bCs/>
          <w:sz w:val="24"/>
          <w:szCs w:val="24"/>
        </w:rPr>
      </w:pPr>
    </w:p>
    <w:p w:rsidR="001F79A0" w:rsidRDefault="00A92CC3">
      <w:pPr>
        <w:jc w:val="both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lastRenderedPageBreak/>
        <w:t>- UNIDAD III: Cuestión de la Práctica Educativa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La planificación didáctica. Definición. Estado actual. Planificación y enseñanza. Planificación como tarea compartida, como derecho y deber. La planificación mental y escrita. Los destinatarios.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La planificación escolar. Fundamentación. Referentes teóricos</w:t>
      </w:r>
      <w:r>
        <w:rPr>
          <w:rFonts w:ascii="Verdana" w:eastAsia="Verdana" w:hAnsi="Verdana" w:cs="Verdana"/>
          <w:sz w:val="24"/>
          <w:szCs w:val="24"/>
        </w:rPr>
        <w:t>. Objetivos. Contenidos. Materiales. Evaluación. Las estrategias didácticas. Clasificación de estrategias. Modelos. Evaluación. Evaluación de los aprendizajes. La fabricación de jerarquías de excelencia. Del programa a la evaluación. Éxito y fracaso como c</w:t>
      </w:r>
      <w:r>
        <w:rPr>
          <w:rFonts w:ascii="Verdana" w:eastAsia="Verdana" w:hAnsi="Verdana" w:cs="Verdana"/>
          <w:sz w:val="24"/>
          <w:szCs w:val="24"/>
        </w:rPr>
        <w:t>onstrucciones. Instrumentos de evaluación. Criterios de evaluación y de acreditación.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Style w:val="Ttulo2"/>
        <w:spacing w:before="2"/>
        <w:ind w:left="0"/>
        <w:jc w:val="both"/>
        <w:rPr>
          <w:rFonts w:ascii="Verdana" w:eastAsia="Verdana" w:hAnsi="Verdana" w:cs="Verdana"/>
          <w:u w:val="single"/>
        </w:rPr>
      </w:pPr>
      <w:r>
        <w:rPr>
          <w:rFonts w:ascii="Verdana" w:eastAsia="Verdana" w:hAnsi="Verdana" w:cs="Verdana"/>
          <w:u w:val="single"/>
        </w:rPr>
        <w:t>Bibliografía obligatoria</w:t>
      </w:r>
    </w:p>
    <w:p w:rsidR="001F79A0" w:rsidRDefault="001F79A0">
      <w:pPr>
        <w:pStyle w:val="Ttulo2"/>
        <w:spacing w:before="2"/>
        <w:ind w:firstLine="107"/>
        <w:jc w:val="both"/>
        <w:rPr>
          <w:rFonts w:ascii="Verdana" w:eastAsia="Verdana" w:hAnsi="Verdana" w:cs="Verdana"/>
        </w:rPr>
      </w:pP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DOCUMENTO DE LA DIRECCIÓN DE PLANEAMIENTO. (2009). “La planificación desde un </w:t>
      </w:r>
      <w:proofErr w:type="spellStart"/>
      <w:r>
        <w:rPr>
          <w:rFonts w:ascii="Verdana" w:eastAsia="Verdana" w:hAnsi="Verdana" w:cs="Verdana"/>
          <w:sz w:val="24"/>
          <w:szCs w:val="24"/>
        </w:rPr>
        <w:t>curriculum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prescriptivo”. Dirección de Educación General Básica. Buenos Aires.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Frigerio, G. y </w:t>
      </w:r>
      <w:proofErr w:type="spellStart"/>
      <w:r>
        <w:rPr>
          <w:rFonts w:ascii="Verdana" w:eastAsia="Verdana" w:hAnsi="Verdana" w:cs="Verdana"/>
          <w:sz w:val="24"/>
          <w:szCs w:val="24"/>
        </w:rPr>
        <w:t>Poggi</w:t>
      </w:r>
      <w:proofErr w:type="spellEnd"/>
      <w:r>
        <w:rPr>
          <w:rFonts w:ascii="Verdana" w:eastAsia="Verdana" w:hAnsi="Verdana" w:cs="Verdana"/>
          <w:sz w:val="24"/>
          <w:szCs w:val="24"/>
        </w:rPr>
        <w:t>, M</w:t>
      </w:r>
      <w:proofErr w:type="gramStart"/>
      <w:r>
        <w:rPr>
          <w:rFonts w:ascii="Verdana" w:eastAsia="Verdana" w:hAnsi="Verdana" w:cs="Verdana"/>
          <w:sz w:val="24"/>
          <w:szCs w:val="24"/>
        </w:rPr>
        <w:t>.(</w:t>
      </w:r>
      <w:proofErr w:type="gramEnd"/>
      <w:r>
        <w:rPr>
          <w:rFonts w:ascii="Verdana" w:eastAsia="Verdana" w:hAnsi="Verdana" w:cs="Verdana"/>
          <w:sz w:val="24"/>
          <w:szCs w:val="24"/>
        </w:rPr>
        <w:t>1992). “Las instituciones educativas. Cara y Ceca”. Cap.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VI. CARA. Troquel</w:t>
      </w:r>
      <w:r>
        <w:rPr>
          <w:rFonts w:ascii="Verdana" w:eastAsia="Verdana" w:hAnsi="Verdana" w:cs="Verdana"/>
          <w:sz w:val="24"/>
          <w:szCs w:val="24"/>
        </w:rPr>
        <w:t>, Bs. As.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Bixio</w:t>
      </w:r>
      <w:proofErr w:type="spellEnd"/>
      <w:r>
        <w:rPr>
          <w:rFonts w:ascii="Verdana" w:eastAsia="Verdana" w:hAnsi="Verdana" w:cs="Verdana"/>
          <w:sz w:val="24"/>
          <w:szCs w:val="24"/>
        </w:rPr>
        <w:t>, C. (2003). “Cómo planificar y evaluar en el aula”. Homo Sapiens. Rosario.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Avolio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de </w:t>
      </w:r>
      <w:proofErr w:type="spellStart"/>
      <w:r>
        <w:rPr>
          <w:rFonts w:ascii="Verdana" w:eastAsia="Verdana" w:hAnsi="Verdana" w:cs="Verdana"/>
          <w:sz w:val="24"/>
          <w:szCs w:val="24"/>
        </w:rPr>
        <w:t>Cols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; S. (1980). “Planeamiento del proceso de enseñanza aprendizaje”. </w:t>
      </w:r>
      <w:proofErr w:type="spellStart"/>
      <w:r>
        <w:rPr>
          <w:rFonts w:ascii="Verdana" w:eastAsia="Verdana" w:hAnsi="Verdana" w:cs="Verdana"/>
          <w:sz w:val="24"/>
          <w:szCs w:val="24"/>
        </w:rPr>
        <w:t>Cap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I.Ed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. </w:t>
      </w:r>
      <w:proofErr w:type="spellStart"/>
      <w:r>
        <w:rPr>
          <w:rFonts w:ascii="Verdana" w:eastAsia="Verdana" w:hAnsi="Verdana" w:cs="Verdana"/>
          <w:sz w:val="24"/>
          <w:szCs w:val="24"/>
        </w:rPr>
        <w:t>Marimar</w:t>
      </w:r>
      <w:proofErr w:type="spellEnd"/>
      <w:r>
        <w:rPr>
          <w:rFonts w:ascii="Verdana" w:eastAsia="Verdana" w:hAnsi="Verdana" w:cs="Verdana"/>
          <w:sz w:val="24"/>
          <w:szCs w:val="24"/>
        </w:rPr>
        <w:t>. Bs. As.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López, M. (2019) “Herramientas para planificar la enseñanz</w:t>
      </w:r>
      <w:r>
        <w:rPr>
          <w:rFonts w:ascii="Verdana" w:eastAsia="Verdana" w:hAnsi="Verdana" w:cs="Verdana"/>
          <w:sz w:val="24"/>
          <w:szCs w:val="24"/>
        </w:rPr>
        <w:t xml:space="preserve">a”, LIBRO </w:t>
      </w:r>
      <w:proofErr w:type="gramStart"/>
      <w:r>
        <w:rPr>
          <w:rFonts w:ascii="Verdana" w:eastAsia="Verdana" w:hAnsi="Verdana" w:cs="Verdana"/>
          <w:sz w:val="24"/>
          <w:szCs w:val="24"/>
        </w:rPr>
        <w:t>II ,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Ed. </w:t>
      </w:r>
      <w:proofErr w:type="spellStart"/>
      <w:r>
        <w:rPr>
          <w:rFonts w:ascii="Verdana" w:eastAsia="Verdana" w:hAnsi="Verdana" w:cs="Verdana"/>
          <w:sz w:val="24"/>
          <w:szCs w:val="24"/>
        </w:rPr>
        <w:t>Aiqué</w:t>
      </w:r>
      <w:proofErr w:type="spellEnd"/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Terigi</w:t>
      </w:r>
      <w:proofErr w:type="spellEnd"/>
      <w:r>
        <w:rPr>
          <w:rFonts w:ascii="Verdana" w:eastAsia="Verdana" w:hAnsi="Verdana" w:cs="Verdana"/>
          <w:sz w:val="24"/>
          <w:szCs w:val="24"/>
        </w:rPr>
        <w:t>, F. (2016). Sobre aprendizaje escolar y neurociencias. Propuesta educativa, (46</w:t>
      </w:r>
      <w:proofErr w:type="gramStart"/>
      <w:r>
        <w:rPr>
          <w:rFonts w:ascii="Verdana" w:eastAsia="Verdana" w:hAnsi="Verdana" w:cs="Verdana"/>
          <w:sz w:val="24"/>
          <w:szCs w:val="24"/>
        </w:rPr>
        <w:t>),</w:t>
      </w:r>
      <w:proofErr w:type="gramEnd"/>
      <w:r>
        <w:rPr>
          <w:rFonts w:ascii="Verdana" w:eastAsia="Verdana" w:hAnsi="Verdana" w:cs="Verdana"/>
          <w:sz w:val="24"/>
          <w:szCs w:val="24"/>
        </w:rPr>
        <w:t>50-64.</w:t>
      </w:r>
    </w:p>
    <w:p w:rsidR="001F79A0" w:rsidRDefault="001F79A0">
      <w:pPr>
        <w:jc w:val="both"/>
        <w:rPr>
          <w:rFonts w:ascii="Verdana" w:eastAsia="Verdana" w:hAnsi="Verdana" w:cs="Verdana"/>
          <w:b/>
          <w:bCs/>
          <w:sz w:val="24"/>
          <w:szCs w:val="24"/>
        </w:rPr>
      </w:pPr>
    </w:p>
    <w:p w:rsidR="001F79A0" w:rsidRDefault="00A92CC3">
      <w:pPr>
        <w:jc w:val="both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Tiempo estimado: agosto- octubre</w:t>
      </w:r>
    </w:p>
    <w:p w:rsidR="001F79A0" w:rsidRDefault="001F79A0">
      <w:pPr>
        <w:jc w:val="both"/>
        <w:rPr>
          <w:rFonts w:ascii="Verdana" w:eastAsia="Verdana" w:hAnsi="Verdana" w:cs="Verdana"/>
          <w:b/>
          <w:bCs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pStyle w:val="Ttulo2"/>
        <w:spacing w:before="2"/>
        <w:ind w:left="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Bibliografía obligatoria</w:t>
      </w:r>
    </w:p>
    <w:p w:rsidR="001F79A0" w:rsidRDefault="001F79A0">
      <w:pPr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p w:rsidR="001F79A0" w:rsidRDefault="00A92CC3">
      <w:pPr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LIBRO DE CABECERA: ¬ GVIRTZ, SILVINA; PALAMIDESSI MARIANO (2005). “EL ABC </w:t>
      </w:r>
      <w:r>
        <w:rPr>
          <w:rFonts w:ascii="Verdana" w:eastAsia="Verdana" w:hAnsi="Verdana" w:cs="Verdana"/>
          <w:b/>
          <w:bCs/>
          <w:sz w:val="24"/>
          <w:szCs w:val="24"/>
        </w:rPr>
        <w:t>DE LA TAREA DOCENTE: CURRICULUM Y ENSEÑANZA”. ED. AIQUE.</w:t>
      </w:r>
    </w:p>
    <w:p w:rsidR="001F79A0" w:rsidRDefault="001F79A0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1F79A0" w:rsidRDefault="00A92CC3">
      <w:pPr>
        <w:jc w:val="both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Sitios de Internet que amplían la búsqueda de información para la asignatura: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www.me.gov.ar – Ministerio de Educación, Ciencia y Tecnología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www.abc.gov.ar – Dirección General de Cultura y Educación.</w:t>
      </w:r>
      <w:r>
        <w:rPr>
          <w:rFonts w:ascii="Verdana" w:eastAsia="Verdana" w:hAnsi="Verdana" w:cs="Verdana"/>
          <w:sz w:val="24"/>
          <w:szCs w:val="24"/>
        </w:rPr>
        <w:t xml:space="preserve"> Provincia de Buenos Aires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www.buenosaires.gob.ar – Gobierno de la Ciudad Autónoma de Buenos Aires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www.inet.edu.ar – Instituto Nacional de Educación Tecnológica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www.iipe.org.ar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www.cuestionesescolares.com.ar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www.puntoseguido.com.ar</w:t>
      </w:r>
    </w:p>
    <w:p w:rsidR="001F79A0" w:rsidRDefault="001F79A0">
      <w:pPr>
        <w:jc w:val="both"/>
        <w:rPr>
          <w:rFonts w:ascii="Verdana" w:eastAsia="Verdana" w:hAnsi="Verdana" w:cs="Verdana"/>
          <w:sz w:val="24"/>
          <w:szCs w:val="24"/>
        </w:rPr>
      </w:pPr>
    </w:p>
    <w:p w:rsidR="00675B50" w:rsidRDefault="00675B50">
      <w:pPr>
        <w:jc w:val="both"/>
        <w:rPr>
          <w:rFonts w:ascii="Verdana" w:eastAsia="Verdana" w:hAnsi="Verdana" w:cs="Verdana"/>
          <w:sz w:val="24"/>
          <w:szCs w:val="24"/>
        </w:rPr>
      </w:pPr>
    </w:p>
    <w:p w:rsidR="00675B50" w:rsidRDefault="00675B50">
      <w:pPr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sz w:val="24"/>
          <w:szCs w:val="24"/>
          <w:u w:val="single"/>
        </w:rPr>
        <w:lastRenderedPageBreak/>
        <w:t>Documentos curriculares:</w:t>
      </w:r>
    </w:p>
    <w:p w:rsidR="001F79A0" w:rsidRDefault="00A92C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3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Ley Nacional de Educación (26.206)</w:t>
      </w:r>
    </w:p>
    <w:p w:rsidR="001F79A0" w:rsidRDefault="00A92C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3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Ley de Educación Técnica y Profesional (26.058)</w:t>
      </w:r>
    </w:p>
    <w:p w:rsidR="001F79A0" w:rsidRDefault="00A92C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3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Diseño Curricular de la Provincia de Buenos Aires. Marco General. Resolución 13298/99</w:t>
      </w:r>
    </w:p>
    <w:p w:rsidR="001F79A0" w:rsidRDefault="00A92C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3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Fundamento y encuadre teórico conceptual de la estructura curr</w:t>
      </w:r>
      <w:r>
        <w:rPr>
          <w:rFonts w:ascii="Verdana" w:eastAsia="Verdana" w:hAnsi="Verdana" w:cs="Verdana"/>
          <w:color w:val="000000"/>
          <w:sz w:val="24"/>
          <w:szCs w:val="24"/>
        </w:rPr>
        <w:t>icular del Ciclo Superior de la Educación Secundaria</w:t>
      </w:r>
    </w:p>
    <w:p w:rsidR="001F79A0" w:rsidRDefault="00A92C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3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D.G.C. y E. — Subsecretaría de Educación — Subdirección de Educación Secundaria — Provincia de Buenos Aires, 2007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BIBLIOGRAFÍA AMPLIATORIA</w:t>
      </w:r>
    </w:p>
    <w:p w:rsidR="00675B50" w:rsidRDefault="00675B50">
      <w:pPr>
        <w:pStyle w:val="Ttulo1"/>
        <w:ind w:firstLine="107"/>
        <w:jc w:val="both"/>
        <w:rPr>
          <w:rFonts w:ascii="Verdana" w:eastAsia="Verdana" w:hAnsi="Verdana" w:cs="Verdana"/>
          <w:u w:val="none"/>
        </w:rPr>
      </w:pP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Tiramonti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,G</w:t>
      </w:r>
      <w:proofErr w:type="spellEnd"/>
      <w:proofErr w:type="gramEnd"/>
      <w:r>
        <w:rPr>
          <w:rFonts w:ascii="Verdana" w:eastAsia="Verdana" w:hAnsi="Verdana" w:cs="Verdana"/>
          <w:b w:val="0"/>
          <w:bCs w:val="0"/>
          <w:u w:val="none"/>
        </w:rPr>
        <w:t xml:space="preserve"> (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Comp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>) La escuela media en debate; Manantial/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Flacso;Buenos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 Aires;2008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Dussel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 I; Humanismo y democracia en la enseñanza media (1863-1920); FLACSO; Buenos Aires: 1997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r>
        <w:rPr>
          <w:rFonts w:ascii="Verdana" w:eastAsia="Verdana" w:hAnsi="Verdana" w:cs="Verdana"/>
          <w:b w:val="0"/>
          <w:bCs w:val="0"/>
          <w:u w:val="none"/>
        </w:rPr>
        <w:t xml:space="preserve">Revista anales de la Educación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Común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;TercerSiglo</w:t>
      </w:r>
      <w:proofErr w:type="gramEnd"/>
      <w:r>
        <w:rPr>
          <w:rFonts w:ascii="Verdana" w:eastAsia="Verdana" w:hAnsi="Verdana" w:cs="Verdana"/>
          <w:b w:val="0"/>
          <w:bCs w:val="0"/>
          <w:u w:val="none"/>
        </w:rPr>
        <w:t>;Año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 I; nª1-2; Adolescencia Y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r>
        <w:rPr>
          <w:rFonts w:ascii="Verdana" w:eastAsia="Verdana" w:hAnsi="Verdana" w:cs="Verdana"/>
          <w:b w:val="0"/>
          <w:bCs w:val="0"/>
          <w:u w:val="none"/>
        </w:rPr>
        <w:t xml:space="preserve">Juventud;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DGCyE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;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Pcia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. 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de</w:t>
      </w:r>
      <w:proofErr w:type="gramEnd"/>
      <w:r>
        <w:rPr>
          <w:rFonts w:ascii="Verdana" w:eastAsia="Verdana" w:hAnsi="Verdana" w:cs="Verdana"/>
          <w:b w:val="0"/>
          <w:bCs w:val="0"/>
          <w:u w:val="none"/>
        </w:rPr>
        <w:t xml:space="preserve"> Bs. As;2005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r>
        <w:rPr>
          <w:rFonts w:ascii="Verdana" w:eastAsia="Verdana" w:hAnsi="Verdana" w:cs="Verdana"/>
          <w:b w:val="0"/>
          <w:bCs w:val="0"/>
          <w:u w:val="none"/>
        </w:rPr>
        <w:t xml:space="preserve">Pugliese, J.C; Articulación Nivel Medio Universidad;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M.E.CyT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>; Bs. As; 2005. Romero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r>
        <w:rPr>
          <w:rFonts w:ascii="Verdana" w:eastAsia="Verdana" w:hAnsi="Verdana" w:cs="Verdana"/>
          <w:b w:val="0"/>
          <w:bCs w:val="0"/>
          <w:u w:val="none"/>
        </w:rPr>
        <w:t xml:space="preserve">Claudia; La educación media en la sociedad del conocimiento; </w:t>
      </w:r>
      <w:proofErr w:type="spellStart"/>
      <w:proofErr w:type="gramStart"/>
      <w:r>
        <w:rPr>
          <w:rFonts w:ascii="Verdana" w:eastAsia="Verdana" w:hAnsi="Verdana" w:cs="Verdana"/>
          <w:b w:val="0"/>
          <w:bCs w:val="0"/>
          <w:u w:val="none"/>
        </w:rPr>
        <w:t>Noveduc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 ;</w:t>
      </w:r>
      <w:proofErr w:type="gramEnd"/>
      <w:r>
        <w:rPr>
          <w:rFonts w:ascii="Verdana" w:eastAsia="Verdana" w:hAnsi="Verdana" w:cs="Verdana"/>
          <w:b w:val="0"/>
          <w:bCs w:val="0"/>
          <w:u w:val="none"/>
        </w:rPr>
        <w:t xml:space="preserve"> Bs. As; 2004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Tenti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Fanfani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, E; La condición docente; Siglo XXI; </w:t>
      </w:r>
      <w:r>
        <w:rPr>
          <w:rFonts w:ascii="Verdana" w:eastAsia="Verdana" w:hAnsi="Verdana" w:cs="Verdana"/>
          <w:b w:val="0"/>
          <w:bCs w:val="0"/>
          <w:u w:val="none"/>
        </w:rPr>
        <w:t>Buenos Aires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;2005</w:t>
      </w:r>
      <w:proofErr w:type="gramEnd"/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Camillonii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, A; El saber didáctico; Ed. 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Paidós ;</w:t>
      </w:r>
      <w:proofErr w:type="gramEnd"/>
      <w:r>
        <w:rPr>
          <w:rFonts w:ascii="Verdana" w:eastAsia="Verdana" w:hAnsi="Verdana" w:cs="Verdana"/>
          <w:b w:val="0"/>
          <w:bCs w:val="0"/>
          <w:u w:val="none"/>
        </w:rPr>
        <w:t xml:space="preserve"> Bs. As; 2007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Camilloni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, A y otras, Corrientes didácticas contemporáneas; Ed.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Paidós</w:t>
      </w:r>
      <w:proofErr w:type="gramStart"/>
      <w:r>
        <w:rPr>
          <w:rFonts w:ascii="Verdana" w:eastAsia="Verdana" w:hAnsi="Verdana" w:cs="Verdana"/>
          <w:b w:val="0"/>
          <w:bCs w:val="0"/>
          <w:u w:val="none"/>
        </w:rPr>
        <w:t>;Bs</w:t>
      </w:r>
      <w:proofErr w:type="spellEnd"/>
      <w:proofErr w:type="gramEnd"/>
      <w:r>
        <w:rPr>
          <w:rFonts w:ascii="Verdana" w:eastAsia="Verdana" w:hAnsi="Verdana" w:cs="Verdana"/>
          <w:b w:val="0"/>
          <w:bCs w:val="0"/>
          <w:u w:val="none"/>
        </w:rPr>
        <w:t>. As; 1996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r>
        <w:rPr>
          <w:rFonts w:ascii="Verdana" w:eastAsia="Verdana" w:hAnsi="Verdana" w:cs="Verdana"/>
          <w:b w:val="0"/>
          <w:bCs w:val="0"/>
          <w:u w:val="none"/>
        </w:rPr>
        <w:t>Revista El Monitor Nª7: Ministerio de Educación de la Nación de la Rep. Argentina; 2006</w:t>
      </w: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b w:val="0"/>
          <w:bCs w:val="0"/>
          <w:u w:val="none"/>
        </w:rPr>
      </w:pP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Galla</w:t>
      </w:r>
      <w:r>
        <w:rPr>
          <w:rFonts w:ascii="Verdana" w:eastAsia="Verdana" w:hAnsi="Verdana" w:cs="Verdana"/>
          <w:b w:val="0"/>
          <w:bCs w:val="0"/>
          <w:u w:val="none"/>
        </w:rPr>
        <w:t>rt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 xml:space="preserve">, M., Jacinto, C. Cuestiones actuales de la formación. “Competencias laborales: tema clave en la articulación educación-trabajo.” </w:t>
      </w:r>
      <w:proofErr w:type="spellStart"/>
      <w:r>
        <w:rPr>
          <w:rFonts w:ascii="Verdana" w:eastAsia="Verdana" w:hAnsi="Verdana" w:cs="Verdana"/>
          <w:b w:val="0"/>
          <w:bCs w:val="0"/>
          <w:u w:val="none"/>
        </w:rPr>
        <w:t>Cinterfor</w:t>
      </w:r>
      <w:proofErr w:type="spellEnd"/>
      <w:r>
        <w:rPr>
          <w:rFonts w:ascii="Verdana" w:eastAsia="Verdana" w:hAnsi="Verdana" w:cs="Verdana"/>
          <w:b w:val="0"/>
          <w:bCs w:val="0"/>
          <w:u w:val="none"/>
        </w:rPr>
        <w:t>, Montevideo, 1997.</w:t>
      </w:r>
    </w:p>
    <w:p w:rsidR="001F79A0" w:rsidRDefault="001F79A0">
      <w:pPr>
        <w:pStyle w:val="Ttulo1"/>
        <w:ind w:firstLine="107"/>
        <w:jc w:val="both"/>
        <w:rPr>
          <w:rFonts w:ascii="Verdana" w:eastAsia="Verdana" w:hAnsi="Verdana" w:cs="Verdana"/>
          <w:u w:val="none"/>
        </w:rPr>
      </w:pP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u w:val="none"/>
        </w:rPr>
      </w:pPr>
      <w:r>
        <w:rPr>
          <w:rFonts w:ascii="Verdana" w:eastAsia="Verdana" w:hAnsi="Verdana" w:cs="Verdana"/>
        </w:rPr>
        <w:t>PRESUPUESTO DE TIEMPO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  <w:tab w:val="left" w:pos="829"/>
        </w:tabs>
        <w:spacing w:line="287" w:lineRule="auto"/>
        <w:ind w:hanging="361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  <w:u w:val="single"/>
        </w:rPr>
        <w:t>Desarrollo de las Unidades</w:t>
      </w:r>
      <w:r>
        <w:rPr>
          <w:rFonts w:ascii="Verdana" w:eastAsia="Verdana" w:hAnsi="Verdana" w:cs="Verdana"/>
          <w:color w:val="000000"/>
          <w:sz w:val="24"/>
          <w:szCs w:val="24"/>
        </w:rPr>
        <w:t>:</w:t>
      </w:r>
    </w:p>
    <w:p w:rsidR="001F79A0" w:rsidRDefault="00A92CC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spacing w:line="314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  <w:u w:val="single"/>
        </w:rPr>
        <w:t>Primer Cuatrimestre</w:t>
      </w:r>
      <w:r>
        <w:rPr>
          <w:rFonts w:ascii="Verdana" w:eastAsia="Verdana" w:hAnsi="Verdana" w:cs="Verdana"/>
          <w:color w:val="000000"/>
          <w:sz w:val="24"/>
          <w:szCs w:val="24"/>
        </w:rPr>
        <w:t>: Unidades 1(mayo-junio) y 2 (junio-julio).</w:t>
      </w:r>
    </w:p>
    <w:p w:rsidR="001F79A0" w:rsidRDefault="00A92CC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  <w:u w:val="single"/>
        </w:rPr>
        <w:t>Segundo Cuatrimestre</w:t>
      </w:r>
      <w:r>
        <w:rPr>
          <w:rFonts w:ascii="Verdana" w:eastAsia="Verdana" w:hAnsi="Verdana" w:cs="Verdana"/>
          <w:color w:val="000000"/>
          <w:sz w:val="24"/>
          <w:szCs w:val="24"/>
        </w:rPr>
        <w:t>: Unidades 3(agosto–septiembre)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sz w:val="24"/>
          <w:szCs w:val="24"/>
        </w:rPr>
      </w:pPr>
    </w:p>
    <w:p w:rsidR="001F79A0" w:rsidRDefault="00675B5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9"/>
        </w:tabs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u w:val="single"/>
        </w:rPr>
        <w:lastRenderedPageBreak/>
        <w:t>E</w:t>
      </w:r>
      <w:r w:rsidR="00A92CC3">
        <w:rPr>
          <w:rFonts w:ascii="Verdana" w:eastAsia="Verdana" w:hAnsi="Verdana" w:cs="Verdana"/>
          <w:u w:val="single"/>
        </w:rPr>
        <w:t>VALUACIÓN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tabs>
          <w:tab w:val="left" w:pos="828"/>
          <w:tab w:val="left" w:pos="829"/>
        </w:tabs>
        <w:spacing w:before="3"/>
        <w:ind w:left="467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Criterios de evaluación</w:t>
      </w:r>
      <w:r>
        <w:rPr>
          <w:rFonts w:ascii="Verdana" w:eastAsia="Verdana" w:hAnsi="Verdana" w:cs="Verdana"/>
          <w:sz w:val="24"/>
          <w:szCs w:val="24"/>
          <w:u w:val="single"/>
        </w:rPr>
        <w:t>: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Lectura de la totalidad de la bibliografía.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Responsabilidad en la realización de las tareas.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Participación activa en las clases (en aula virtual).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Utilización adecuada de los conceptos pedagógicos en el análisis de diversas situaciones problemáticas.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Análisis crítico de la realidad educativa actual.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Adecuada interpretación de las consignas dadas.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Manejo del vocabulario específico.</w:t>
      </w:r>
    </w:p>
    <w:p w:rsidR="001F79A0" w:rsidRDefault="00A92C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spacing w:line="314" w:lineRule="auto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Establecer relaciones entre los conceptos trabajados.</w:t>
      </w:r>
    </w:p>
    <w:p w:rsidR="001F79A0" w:rsidRDefault="001F79A0">
      <w:pPr>
        <w:pStyle w:val="Ttulo1"/>
        <w:ind w:firstLine="107"/>
        <w:jc w:val="both"/>
        <w:rPr>
          <w:rFonts w:ascii="Verdana" w:eastAsia="Verdana" w:hAnsi="Verdana" w:cs="Verdana"/>
        </w:rPr>
      </w:pPr>
    </w:p>
    <w:p w:rsidR="001F79A0" w:rsidRDefault="00A92CC3">
      <w:pPr>
        <w:pStyle w:val="Ttulo1"/>
        <w:ind w:firstLine="107"/>
        <w:jc w:val="both"/>
        <w:rPr>
          <w:rFonts w:ascii="Verdana" w:eastAsia="Verdana" w:hAnsi="Verdana" w:cs="Verdana"/>
          <w:u w:val="none"/>
        </w:rPr>
      </w:pPr>
      <w:r>
        <w:rPr>
          <w:rFonts w:ascii="Verdana" w:eastAsia="Verdana" w:hAnsi="Verdana" w:cs="Verdana"/>
        </w:rPr>
        <w:t xml:space="preserve">CONDICIONES PARA LA </w:t>
      </w:r>
      <w:r>
        <w:rPr>
          <w:rFonts w:ascii="Verdana" w:eastAsia="Verdana" w:hAnsi="Verdana" w:cs="Verdana"/>
        </w:rPr>
        <w:t>APROBACIÓN</w:t>
      </w:r>
      <w:r>
        <w:rPr>
          <w:rFonts w:ascii="Verdana" w:eastAsia="Verdana" w:hAnsi="Verdana" w:cs="Verdana"/>
        </w:rPr>
        <w:t xml:space="preserve"> DE LA CURSADA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rFonts w:ascii="Verdana" w:eastAsia="Verdana" w:hAnsi="Verdana" w:cs="Verdana"/>
          <w:b/>
          <w:bCs/>
          <w:color w:val="000000"/>
          <w:sz w:val="24"/>
          <w:szCs w:val="24"/>
        </w:rPr>
      </w:pPr>
    </w:p>
    <w:p w:rsidR="001F79A0" w:rsidRDefault="00A92C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Cumplir con el porcentaje requerido de participación en las clases (acordado al inicio de la cursada).</w:t>
      </w:r>
    </w:p>
    <w:p w:rsidR="001F79A0" w:rsidRDefault="00A92C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Aprobar los trabajos prácticos / parciales integradores (entregados en tiempo y forma).</w:t>
      </w:r>
    </w:p>
    <w:p w:rsidR="001F79A0" w:rsidRDefault="00A92CC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Análisis de problemáticas educativas, a partir de conceptos pedagógicos propuestos por la Cátedra.</w:t>
      </w:r>
    </w:p>
    <w:p w:rsidR="001F79A0" w:rsidRDefault="00A92CC3">
      <w:pPr>
        <w:pStyle w:val="Ttulo1"/>
        <w:spacing w:before="177"/>
        <w:ind w:firstLine="107"/>
        <w:jc w:val="both"/>
        <w:rPr>
          <w:rFonts w:ascii="Verdana" w:eastAsia="Verdana" w:hAnsi="Verdana" w:cs="Verdana"/>
          <w:b w:val="0"/>
          <w:bCs w:val="0"/>
          <w:i/>
          <w:iCs/>
        </w:rPr>
      </w:pPr>
      <w:r>
        <w:rPr>
          <w:rFonts w:ascii="Verdana" w:eastAsia="Verdana" w:hAnsi="Verdana" w:cs="Verdana"/>
        </w:rPr>
        <w:t xml:space="preserve">CONDICIONES PARA LA </w:t>
      </w:r>
      <w:r>
        <w:rPr>
          <w:rFonts w:ascii="Verdana" w:eastAsia="Verdana" w:hAnsi="Verdana" w:cs="Verdana"/>
        </w:rPr>
        <w:t>ACREDITACIÓN</w:t>
      </w:r>
      <w:r>
        <w:rPr>
          <w:rFonts w:ascii="Verdana" w:eastAsia="Verdana" w:hAnsi="Verdana" w:cs="Verdana"/>
        </w:rPr>
        <w:t xml:space="preserve"> DE LA MATERIA</w:t>
      </w:r>
    </w:p>
    <w:p w:rsidR="001F79A0" w:rsidRDefault="00A92CC3">
      <w:pPr>
        <w:pBdr>
          <w:top w:val="nil"/>
          <w:left w:val="nil"/>
          <w:bottom w:val="nil"/>
          <w:right w:val="nil"/>
          <w:between w:val="nil"/>
        </w:pBdr>
        <w:spacing w:line="316" w:lineRule="auto"/>
        <w:ind w:left="468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  <w:sdt>
        <w:sdtPr>
          <w:tag w:val="goog_rdk_0"/>
          <w:id w:val="-4589073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✔</w:t>
          </w:r>
        </w:sdtContent>
      </w:sdt>
      <w:r>
        <w:rPr>
          <w:rFonts w:ascii="Verdana" w:eastAsia="Verdana" w:hAnsi="Verdana" w:cs="Verdana"/>
          <w:i/>
          <w:iCs/>
          <w:color w:val="000000"/>
          <w:sz w:val="24"/>
          <w:szCs w:val="24"/>
        </w:rPr>
        <w:t>Cumplir con el porcentaje de participación requerido.</w:t>
      </w:r>
    </w:p>
    <w:p w:rsidR="001F79A0" w:rsidRDefault="00A92CC3">
      <w:pPr>
        <w:ind w:firstLine="468"/>
        <w:jc w:val="both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sdt>
        <w:sdtPr>
          <w:tag w:val="goog_rdk_1"/>
          <w:id w:val="1836796083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✔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Aprobar los trabajos prácticos integradores (entregados en tiempo y forma).</w:t>
          </w:r>
        </w:sdtContent>
      </w:sdt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 xml:space="preserve"> 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Para promoción directa</w:t>
      </w:r>
      <w:r>
        <w:rPr>
          <w:rFonts w:ascii="Verdana" w:eastAsia="Verdana" w:hAnsi="Verdana" w:cs="Verdana"/>
          <w:sz w:val="24"/>
          <w:szCs w:val="24"/>
        </w:rPr>
        <w:t xml:space="preserve"> (sin examen final): deberán obtener una calificación de 7 o más puntos en cada una de las instancia</w:t>
      </w:r>
      <w:r>
        <w:rPr>
          <w:rFonts w:ascii="Verdana" w:eastAsia="Verdana" w:hAnsi="Verdana" w:cs="Verdana"/>
          <w:sz w:val="24"/>
          <w:szCs w:val="24"/>
        </w:rPr>
        <w:t>s evaluativas y cumplir con la asistencia requerida. De no alcanzar 7 puntos o más en alguna instancia podrá recuperarlas finalizados los cuatrimestres.</w:t>
      </w:r>
    </w:p>
    <w:p w:rsidR="001F79A0" w:rsidRDefault="00A92CC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Para acreditación con examen final</w:t>
      </w:r>
      <w:r>
        <w:rPr>
          <w:rFonts w:ascii="Verdana" w:eastAsia="Verdana" w:hAnsi="Verdana" w:cs="Verdana"/>
          <w:sz w:val="24"/>
          <w:szCs w:val="24"/>
        </w:rPr>
        <w:t>: deberán obtener una calificación mínima de 4  puntos en cada una de</w:t>
      </w:r>
      <w:r>
        <w:rPr>
          <w:rFonts w:ascii="Verdana" w:eastAsia="Verdana" w:hAnsi="Verdana" w:cs="Verdana"/>
          <w:sz w:val="24"/>
          <w:szCs w:val="24"/>
        </w:rPr>
        <w:t xml:space="preserve"> las instancias evaluativas y cumplir con la asistencia requerida para aprobar la cursada. De esta manera, acceden a la instancia de examen final.</w:t>
      </w:r>
    </w:p>
    <w:p w:rsidR="001F79A0" w:rsidRDefault="00A92CC3">
      <w:pPr>
        <w:widowControl/>
        <w:numPr>
          <w:ilvl w:val="0"/>
          <w:numId w:val="3"/>
        </w:numPr>
        <w:jc w:val="both"/>
        <w:rPr>
          <w:rFonts w:ascii="Verdana" w:eastAsia="Verdana" w:hAnsi="Verdana" w:cs="Verdana"/>
          <w:b/>
          <w:bCs/>
          <w:i/>
          <w:iCs/>
          <w:sz w:val="24"/>
          <w:szCs w:val="24"/>
        </w:rPr>
      </w:pPr>
      <w:r>
        <w:rPr>
          <w:rFonts w:ascii="Verdana" w:eastAsia="Verdana" w:hAnsi="Verdana" w:cs="Verdana"/>
          <w:b/>
          <w:bCs/>
          <w:i/>
          <w:iCs/>
          <w:sz w:val="24"/>
          <w:szCs w:val="24"/>
        </w:rPr>
        <w:t>Examen final integrador (oral) de los contenidos propuestos por la cátedra, explicitados en el programa.</w:t>
      </w:r>
    </w:p>
    <w:p w:rsidR="001F79A0" w:rsidRDefault="00A92CC3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  <w:t>Se deberá presentar, el día del examen, un mapa conceptual que refleje la relación entre los contenidos de la materia. Es de carácter obligatorio. Utilizar toda la bibliografía.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line="310" w:lineRule="auto"/>
        <w:ind w:left="468"/>
        <w:jc w:val="both"/>
        <w:rPr>
          <w:rFonts w:ascii="Verdana" w:eastAsia="Verdana" w:hAnsi="Verdana" w:cs="Verdana"/>
          <w:i/>
          <w:iCs/>
          <w:color w:val="000000"/>
          <w:sz w:val="24"/>
          <w:szCs w:val="24"/>
        </w:rPr>
      </w:pP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i/>
          <w:iCs/>
          <w:color w:val="000000"/>
          <w:sz w:val="24"/>
          <w:szCs w:val="24"/>
        </w:rPr>
      </w:pPr>
    </w:p>
    <w:p w:rsidR="001F79A0" w:rsidRDefault="00A92CC3">
      <w:pPr>
        <w:spacing w:before="240"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Para definir tu condición en la materia, se tienen en cuenta tus notas y tu </w:t>
      </w:r>
      <w:r>
        <w:rPr>
          <w:b/>
          <w:bCs/>
          <w:i/>
          <w:iCs/>
          <w:sz w:val="18"/>
          <w:szCs w:val="18"/>
        </w:rPr>
        <w:t xml:space="preserve">asistencia </w:t>
      </w:r>
      <w:r>
        <w:rPr>
          <w:b/>
          <w:bCs/>
          <w:i/>
          <w:iCs/>
          <w:sz w:val="18"/>
          <w:szCs w:val="18"/>
        </w:rPr>
        <w:t>📅</w:t>
      </w:r>
      <w:r>
        <w:rPr>
          <w:b/>
          <w:bCs/>
          <w:i/>
          <w:iCs/>
          <w:sz w:val="18"/>
          <w:szCs w:val="18"/>
        </w:rPr>
        <w:t>:</w:t>
      </w:r>
    </w:p>
    <w:p w:rsidR="001F79A0" w:rsidRDefault="00A92CC3">
      <w:pPr>
        <w:pStyle w:val="Ttulo4"/>
        <w:keepNext w:val="0"/>
        <w:keepLines w:val="0"/>
        <w:rPr>
          <w:i/>
          <w:iCs/>
          <w:sz w:val="22"/>
          <w:szCs w:val="22"/>
        </w:rPr>
      </w:pPr>
      <w:bookmarkStart w:id="3" w:name="_heading=h.y7q0lqpmhvww" w:colFirst="0" w:colLast="0"/>
      <w:bookmarkEnd w:id="3"/>
      <w:r>
        <w:rPr>
          <w:i/>
          <w:iCs/>
          <w:sz w:val="22"/>
          <w:szCs w:val="22"/>
        </w:rPr>
        <w:t>🏆</w:t>
      </w:r>
      <w:r>
        <w:rPr>
          <w:i/>
          <w:iCs/>
          <w:sz w:val="22"/>
          <w:szCs w:val="22"/>
        </w:rPr>
        <w:t xml:space="preserve"> 1. Promoción Directa (Sin examen final)</w:t>
      </w:r>
    </w:p>
    <w:p w:rsidR="001F79A0" w:rsidRDefault="00A92CC3">
      <w:pPr>
        <w:numPr>
          <w:ilvl w:val="0"/>
          <w:numId w:val="8"/>
        </w:numPr>
        <w:spacing w:before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</w:rPr>
        <w:t>Nota:</w:t>
      </w:r>
      <w:r>
        <w:rPr>
          <w:b/>
          <w:bCs/>
          <w:i/>
          <w:iCs/>
          <w:sz w:val="18"/>
          <w:szCs w:val="18"/>
        </w:rPr>
        <w:t xml:space="preserve"> 7 o más en cada uno de los parciales.</w:t>
      </w:r>
    </w:p>
    <w:p w:rsidR="001F79A0" w:rsidRDefault="00A92CC3">
      <w:pPr>
        <w:numPr>
          <w:ilvl w:val="0"/>
          <w:numId w:val="8"/>
        </w:numPr>
        <w:spacing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Asistencia: Cumplir con el porcentaje mínimo requerido.</w:t>
      </w:r>
    </w:p>
    <w:p w:rsidR="001F79A0" w:rsidRDefault="00A92CC3">
      <w:pPr>
        <w:pStyle w:val="Ttulo4"/>
        <w:keepNext w:val="0"/>
        <w:keepLines w:val="0"/>
        <w:rPr>
          <w:i/>
          <w:iCs/>
          <w:sz w:val="22"/>
          <w:szCs w:val="22"/>
        </w:rPr>
      </w:pPr>
      <w:bookmarkStart w:id="4" w:name="_heading=h.1qh8kjn7xlga" w:colFirst="0" w:colLast="0"/>
      <w:bookmarkEnd w:id="4"/>
      <w:r>
        <w:rPr>
          <w:i/>
          <w:iCs/>
          <w:sz w:val="22"/>
          <w:szCs w:val="22"/>
        </w:rPr>
        <w:t>✍</w:t>
      </w:r>
      <w:r>
        <w:rPr>
          <w:i/>
          <w:iCs/>
          <w:sz w:val="22"/>
          <w:szCs w:val="22"/>
        </w:rPr>
        <w:t>️</w:t>
      </w:r>
      <w:r>
        <w:rPr>
          <w:i/>
          <w:iCs/>
          <w:sz w:val="22"/>
          <w:szCs w:val="22"/>
        </w:rPr>
        <w:t xml:space="preserve"> 2. Examen Final (Condición Regular)</w:t>
      </w:r>
    </w:p>
    <w:p w:rsidR="001F79A0" w:rsidRDefault="00A92CC3">
      <w:pPr>
        <w:numPr>
          <w:ilvl w:val="0"/>
          <w:numId w:val="1"/>
        </w:numPr>
        <w:spacing w:before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</w:rPr>
        <w:t>Nota:</w:t>
      </w:r>
      <w:r>
        <w:rPr>
          <w:b/>
          <w:bCs/>
          <w:i/>
          <w:iCs/>
          <w:sz w:val="18"/>
          <w:szCs w:val="18"/>
        </w:rPr>
        <w:t xml:space="preserve"> Si obtienes entre 4 y 6 en alguno de los parciales (o en ambos).</w:t>
      </w:r>
    </w:p>
    <w:p w:rsidR="001F79A0" w:rsidRDefault="00A92CC3">
      <w:pPr>
        <w:numPr>
          <w:ilvl w:val="0"/>
          <w:numId w:val="1"/>
        </w:numPr>
        <w:spacing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Asistencia: Cumplir con el porcentaje mínimo requerido.</w:t>
      </w:r>
    </w:p>
    <w:p w:rsidR="001F79A0" w:rsidRDefault="00A92CC3">
      <w:pPr>
        <w:pStyle w:val="Ttulo4"/>
        <w:keepNext w:val="0"/>
        <w:keepLines w:val="0"/>
        <w:rPr>
          <w:i/>
          <w:iCs/>
          <w:sz w:val="22"/>
          <w:szCs w:val="22"/>
        </w:rPr>
      </w:pPr>
      <w:bookmarkStart w:id="5" w:name="_heading=h.igd4yma1tkhd" w:colFirst="0" w:colLast="0"/>
      <w:bookmarkEnd w:id="5"/>
      <w:r>
        <w:rPr>
          <w:i/>
          <w:iCs/>
          <w:sz w:val="22"/>
          <w:szCs w:val="22"/>
        </w:rPr>
        <w:t>🔄</w:t>
      </w:r>
      <w:r>
        <w:rPr>
          <w:i/>
          <w:iCs/>
          <w:sz w:val="22"/>
          <w:szCs w:val="22"/>
        </w:rPr>
        <w:t xml:space="preserve"> 3. </w:t>
      </w:r>
      <w:proofErr w:type="spellStart"/>
      <w:r>
        <w:rPr>
          <w:i/>
          <w:iCs/>
          <w:sz w:val="22"/>
          <w:szCs w:val="22"/>
        </w:rPr>
        <w:t>Recuperatorio</w:t>
      </w:r>
      <w:proofErr w:type="spellEnd"/>
    </w:p>
    <w:p w:rsidR="001F79A0" w:rsidRDefault="00A92CC3">
      <w:pPr>
        <w:numPr>
          <w:ilvl w:val="0"/>
          <w:numId w:val="9"/>
        </w:numPr>
        <w:spacing w:before="240"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Puedes recuperar un solo parcial si tu nota fue menor a 4 (desaprobado).</w:t>
      </w:r>
    </w:p>
    <w:p w:rsidR="001F79A0" w:rsidRDefault="00A92CC3">
      <w:pPr>
        <w:spacing w:before="8"/>
        <w:rPr>
          <w:b/>
          <w:bCs/>
          <w:i/>
          <w:iCs/>
          <w:sz w:val="18"/>
          <w:szCs w:val="18"/>
        </w:rPr>
      </w:pPr>
      <w:r>
        <w:pict w14:anchorId="41474346">
          <v:rect id="_x0000_i1025" style="width:0;height:1.5pt" o:hralign="center" o:hrstd="t" o:hr="t" fillcolor="#a0a0a0" stroked="f"/>
        </w:pict>
      </w:r>
    </w:p>
    <w:p w:rsidR="001F79A0" w:rsidRDefault="00A92CC3">
      <w:pPr>
        <w:pStyle w:val="Ttulo3"/>
        <w:keepNext w:val="0"/>
        <w:keepLines w:val="0"/>
        <w:rPr>
          <w:i/>
          <w:iCs/>
          <w:sz w:val="26"/>
          <w:szCs w:val="26"/>
        </w:rPr>
      </w:pPr>
      <w:bookmarkStart w:id="6" w:name="_heading=h.mn5h3exo29zq" w:colFirst="0" w:colLast="0"/>
      <w:bookmarkEnd w:id="6"/>
      <w:r>
        <w:rPr>
          <w:i/>
          <w:iCs/>
          <w:sz w:val="26"/>
          <w:szCs w:val="26"/>
        </w:rPr>
        <w:t>⚠</w:t>
      </w:r>
      <w:r>
        <w:rPr>
          <w:i/>
          <w:iCs/>
          <w:sz w:val="26"/>
          <w:szCs w:val="26"/>
        </w:rPr>
        <w:t>️</w:t>
      </w:r>
      <w:r>
        <w:rPr>
          <w:i/>
          <w:iCs/>
          <w:sz w:val="26"/>
          <w:szCs w:val="26"/>
        </w:rPr>
        <w:t xml:space="preserve"> ¿Cuándo se debe RECURSAR la materia?</w:t>
      </w:r>
    </w:p>
    <w:p w:rsidR="001F79A0" w:rsidRDefault="00A92CC3">
      <w:pPr>
        <w:spacing w:before="240"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Te encuentras en condición de Libre (debes volver a cursar) si ocurre algo de lo siguiente:</w:t>
      </w:r>
    </w:p>
    <w:p w:rsidR="001F79A0" w:rsidRDefault="00A92CC3">
      <w:pPr>
        <w:numPr>
          <w:ilvl w:val="0"/>
          <w:numId w:val="7"/>
        </w:numPr>
        <w:spacing w:before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Asistencia: No cumplir con el mínimo de presencia en clase. </w:t>
      </w:r>
      <w:r>
        <w:rPr>
          <w:b/>
          <w:bCs/>
          <w:i/>
          <w:iCs/>
          <w:sz w:val="18"/>
          <w:szCs w:val="18"/>
        </w:rPr>
        <w:t>🚫</w:t>
      </w:r>
    </w:p>
    <w:p w:rsidR="001F79A0" w:rsidRDefault="00A92CC3">
      <w:pPr>
        <w:numPr>
          <w:ilvl w:val="0"/>
          <w:numId w:val="7"/>
        </w:num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Notas: Desaprobar ambos parciales (menos de 4 en los dos).</w:t>
      </w:r>
    </w:p>
    <w:p w:rsidR="001F79A0" w:rsidRDefault="00A92CC3">
      <w:pPr>
        <w:numPr>
          <w:ilvl w:val="0"/>
          <w:numId w:val="7"/>
        </w:num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Fallas en </w:t>
      </w:r>
      <w:proofErr w:type="spellStart"/>
      <w:r>
        <w:rPr>
          <w:b/>
          <w:bCs/>
          <w:i/>
          <w:iCs/>
          <w:sz w:val="18"/>
          <w:szCs w:val="18"/>
        </w:rPr>
        <w:t>Recuperatorio</w:t>
      </w:r>
      <w:proofErr w:type="spellEnd"/>
      <w:r>
        <w:rPr>
          <w:b/>
          <w:bCs/>
          <w:i/>
          <w:iCs/>
          <w:sz w:val="18"/>
          <w:szCs w:val="18"/>
        </w:rPr>
        <w:t xml:space="preserve">: Desaprobar el examen </w:t>
      </w:r>
      <w:proofErr w:type="spellStart"/>
      <w:r>
        <w:rPr>
          <w:b/>
          <w:bCs/>
          <w:i/>
          <w:iCs/>
          <w:sz w:val="18"/>
          <w:szCs w:val="18"/>
        </w:rPr>
        <w:t>recuperatorio</w:t>
      </w:r>
      <w:proofErr w:type="spellEnd"/>
      <w:r>
        <w:rPr>
          <w:b/>
          <w:bCs/>
          <w:i/>
          <w:iCs/>
          <w:sz w:val="18"/>
          <w:szCs w:val="18"/>
        </w:rPr>
        <w:t>.</w:t>
      </w:r>
    </w:p>
    <w:p w:rsidR="001F79A0" w:rsidRDefault="00A92CC3">
      <w:pPr>
        <w:numPr>
          <w:ilvl w:val="0"/>
          <w:numId w:val="7"/>
        </w:numPr>
        <w:spacing w:after="24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Riesgo por Promoción: Si decides recuperar un parcial que ya tenías aprobado (con 4, 5 o 6) para intentar promocionar, pero en el </w:t>
      </w:r>
      <w:proofErr w:type="spellStart"/>
      <w:r>
        <w:rPr>
          <w:b/>
          <w:bCs/>
          <w:i/>
          <w:iCs/>
          <w:sz w:val="18"/>
          <w:szCs w:val="18"/>
        </w:rPr>
        <w:t>recuperatorio</w:t>
      </w:r>
      <w:proofErr w:type="spellEnd"/>
      <w:r>
        <w:rPr>
          <w:b/>
          <w:bCs/>
          <w:i/>
          <w:iCs/>
          <w:sz w:val="18"/>
          <w:szCs w:val="18"/>
        </w:rPr>
        <w:t xml:space="preserve"> desapruebas (sacas menos de 4).</w:t>
      </w:r>
    </w:p>
    <w:p w:rsidR="001F79A0" w:rsidRDefault="001F79A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i/>
          <w:iCs/>
          <w:sz w:val="18"/>
          <w:szCs w:val="18"/>
        </w:rPr>
      </w:pPr>
    </w:p>
    <w:sectPr w:rsidR="001F79A0">
      <w:headerReference w:type="default" r:id="rId8"/>
      <w:footerReference w:type="default" r:id="rId9"/>
      <w:pgSz w:w="11910" w:h="16840"/>
      <w:pgMar w:top="3420" w:right="1160" w:bottom="420" w:left="460" w:header="1015" w:footer="2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CC3" w:rsidRDefault="00A92CC3">
      <w:r>
        <w:separator/>
      </w:r>
    </w:p>
  </w:endnote>
  <w:endnote w:type="continuationSeparator" w:id="0">
    <w:p w:rsidR="00A92CC3" w:rsidRDefault="00A9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D971994-A085-4567-87E6-38E2B80B6BE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Quattrocento Sans">
    <w:charset w:val="00"/>
    <w:family w:val="auto"/>
    <w:pitch w:val="default"/>
    <w:embedRegular r:id="rId2" w:fontKey="{962A9075-1344-4D2B-87DC-805BB40B64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3" w:fontKey="{422E187E-E972-44A7-BA66-7D561E60412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63DAE24B-A422-4F85-845E-DAA7EE05B1EA}"/>
    <w:embedBold r:id="rId5" w:fontKey="{BA610E90-BCE1-4AA4-B63C-263F25E8329D}"/>
    <w:embedItalic r:id="rId6" w:fontKey="{42A70A4B-ABD6-4785-940F-B283CF3C47D7}"/>
    <w:embedBoldItalic r:id="rId7" w:fontKey="{159EF95A-CEA4-4D73-8236-AFD234B6E04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8" w:subsetted="1" w:fontKey="{A0A3770A-5966-4980-B2EC-81B7DC3972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060A9AD-77CE-45DF-B400-E0DCDB51F8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8A299DE1-7D6A-4AE4-8B73-6B233B95A9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9A0" w:rsidRDefault="00A92CC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s-AR"/>
      </w:rPr>
      <mc:AlternateContent>
        <mc:Choice Requires="wpg">
          <w:drawing>
            <wp:anchor distT="0" distB="0" distL="114300" distR="114300" simplePos="0" relativeHeight="251659264" behindDoc="1" locked="0" layoutInCell="1" hidden="0" allowOverlap="1">
              <wp:simplePos x="0" y="0"/>
              <wp:positionH relativeFrom="column">
                <wp:posOffset>2654300</wp:posOffset>
              </wp:positionH>
              <wp:positionV relativeFrom="paragraph">
                <wp:posOffset>10363200</wp:posOffset>
              </wp:positionV>
              <wp:extent cx="1446530" cy="177165"/>
              <wp:effectExtent l="0" t="0" r="0" b="0"/>
              <wp:wrapNone/>
              <wp:docPr id="6" name="Forma lib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9598" y="3696180"/>
                        <a:ext cx="1437005" cy="167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37005" h="167640" extrusionOk="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1437005" y="167640"/>
                            </a:lnTo>
                            <a:lnTo>
                              <a:pt x="143700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1F79A0" w:rsidRDefault="001F79A0">
                          <w:pPr>
                            <w:spacing w:before="12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2654300</wp:posOffset>
              </wp:positionH>
              <wp:positionV relativeFrom="paragraph">
                <wp:posOffset>10363200</wp:posOffset>
              </wp:positionV>
              <wp:extent cx="1446530" cy="17716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6530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s-AR"/>
      </w:rPr>
      <mc:AlternateContent>
        <mc:Choice Requires="wps">
          <w:drawing>
            <wp:anchor distT="0" distB="0" distL="114300" distR="114300" simplePos="0" relativeHeight="251660288" behindDoc="1" locked="0" layoutInCell="1" hidden="0" allowOverlap="1">
              <wp:simplePos x="0" y="0"/>
              <wp:positionH relativeFrom="column">
                <wp:posOffset>165100</wp:posOffset>
              </wp:positionH>
              <wp:positionV relativeFrom="paragraph">
                <wp:posOffset>10363200</wp:posOffset>
              </wp:positionV>
              <wp:extent cx="7620" cy="12700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24048" y="3776190"/>
                        <a:ext cx="6428105" cy="762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1F79A0" w:rsidRDefault="001F79A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165100</wp:posOffset>
              </wp:positionH>
              <wp:positionV relativeFrom="paragraph">
                <wp:posOffset>10363200</wp:posOffset>
              </wp:positionV>
              <wp:extent cx="7620" cy="1270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CC3" w:rsidRDefault="00A92CC3">
      <w:r>
        <w:separator/>
      </w:r>
    </w:p>
  </w:footnote>
  <w:footnote w:type="continuationSeparator" w:id="0">
    <w:p w:rsidR="00A92CC3" w:rsidRDefault="00A92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9A0" w:rsidRDefault="00A92CC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s-A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19051</wp:posOffset>
          </wp:positionH>
          <wp:positionV relativeFrom="paragraph">
            <wp:posOffset>-136524</wp:posOffset>
          </wp:positionV>
          <wp:extent cx="6534150" cy="1244600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34150" cy="1244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7192E"/>
    <w:multiLevelType w:val="multilevel"/>
    <w:tmpl w:val="42E0E6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78769A4"/>
    <w:multiLevelType w:val="multilevel"/>
    <w:tmpl w:val="0650A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73068EF"/>
    <w:multiLevelType w:val="multilevel"/>
    <w:tmpl w:val="B0786E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7BC5EFC"/>
    <w:multiLevelType w:val="multilevel"/>
    <w:tmpl w:val="8ABCAEC0"/>
    <w:lvl w:ilvl="0">
      <w:start w:val="1"/>
      <w:numFmt w:val="bullet"/>
      <w:lvlText w:val="⮚"/>
      <w:lvlJc w:val="left"/>
      <w:pPr>
        <w:ind w:left="8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B445771"/>
    <w:multiLevelType w:val="multilevel"/>
    <w:tmpl w:val="CAC0DB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641666A"/>
    <w:multiLevelType w:val="multilevel"/>
    <w:tmpl w:val="9C307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4E846508"/>
    <w:multiLevelType w:val="multilevel"/>
    <w:tmpl w:val="6D2A4D86"/>
    <w:lvl w:ilvl="0">
      <w:numFmt w:val="bullet"/>
      <w:lvlText w:val="●"/>
      <w:lvlJc w:val="left"/>
      <w:pPr>
        <w:ind w:left="828" w:hanging="360"/>
      </w:pPr>
    </w:lvl>
    <w:lvl w:ilvl="1">
      <w:numFmt w:val="bullet"/>
      <w:lvlText w:val="⮚"/>
      <w:lvlJc w:val="left"/>
      <w:pPr>
        <w:ind w:left="1548" w:hanging="360"/>
      </w:pPr>
      <w:rPr>
        <w:rFonts w:ascii="Quattrocento Sans" w:eastAsia="Quattrocento Sans" w:hAnsi="Quattrocento Sans" w:cs="Quattrocento Sans"/>
        <w:sz w:val="24"/>
        <w:szCs w:val="24"/>
      </w:rPr>
    </w:lvl>
    <w:lvl w:ilvl="2">
      <w:numFmt w:val="bullet"/>
      <w:lvlText w:val="•"/>
      <w:lvlJc w:val="left"/>
      <w:pPr>
        <w:ind w:left="2512" w:hanging="361"/>
      </w:pPr>
    </w:lvl>
    <w:lvl w:ilvl="3">
      <w:numFmt w:val="bullet"/>
      <w:lvlText w:val="•"/>
      <w:lvlJc w:val="left"/>
      <w:pPr>
        <w:ind w:left="3484" w:hanging="361"/>
      </w:pPr>
    </w:lvl>
    <w:lvl w:ilvl="4">
      <w:numFmt w:val="bullet"/>
      <w:lvlText w:val="•"/>
      <w:lvlJc w:val="left"/>
      <w:pPr>
        <w:ind w:left="4456" w:hanging="361"/>
      </w:pPr>
    </w:lvl>
    <w:lvl w:ilvl="5">
      <w:numFmt w:val="bullet"/>
      <w:lvlText w:val="•"/>
      <w:lvlJc w:val="left"/>
      <w:pPr>
        <w:ind w:left="5428" w:hanging="361"/>
      </w:pPr>
    </w:lvl>
    <w:lvl w:ilvl="6">
      <w:numFmt w:val="bullet"/>
      <w:lvlText w:val="•"/>
      <w:lvlJc w:val="left"/>
      <w:pPr>
        <w:ind w:left="6400" w:hanging="361"/>
      </w:pPr>
    </w:lvl>
    <w:lvl w:ilvl="7">
      <w:numFmt w:val="bullet"/>
      <w:lvlText w:val="•"/>
      <w:lvlJc w:val="left"/>
      <w:pPr>
        <w:ind w:left="7372" w:hanging="361"/>
      </w:pPr>
    </w:lvl>
    <w:lvl w:ilvl="8">
      <w:numFmt w:val="bullet"/>
      <w:lvlText w:val="•"/>
      <w:lvlJc w:val="left"/>
      <w:pPr>
        <w:ind w:left="8344" w:hanging="361"/>
      </w:pPr>
    </w:lvl>
  </w:abstractNum>
  <w:abstractNum w:abstractNumId="7">
    <w:nsid w:val="4E850816"/>
    <w:multiLevelType w:val="multilevel"/>
    <w:tmpl w:val="E3D859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5C4A40C2"/>
    <w:multiLevelType w:val="multilevel"/>
    <w:tmpl w:val="4A5C1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9A0"/>
    <w:rsid w:val="001F79A0"/>
    <w:rsid w:val="003803BE"/>
    <w:rsid w:val="00675B50"/>
    <w:rsid w:val="00A9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2210A-8BAB-4137-831C-A4BDE80C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" w:eastAsia="es-A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6E2"/>
  </w:style>
  <w:style w:type="paragraph" w:styleId="Ttulo1">
    <w:name w:val="heading 1"/>
    <w:basedOn w:val="Normal"/>
    <w:uiPriority w:val="9"/>
    <w:qFormat/>
    <w:rsid w:val="00D736E2"/>
    <w:pPr>
      <w:ind w:left="107"/>
      <w:outlineLvl w:val="0"/>
    </w:pPr>
    <w:rPr>
      <w:b/>
      <w:bCs/>
      <w:sz w:val="24"/>
      <w:szCs w:val="24"/>
      <w:u w:val="single" w:color="000000"/>
    </w:rPr>
  </w:style>
  <w:style w:type="paragraph" w:styleId="Ttulo2">
    <w:name w:val="heading 2"/>
    <w:basedOn w:val="Normal"/>
    <w:link w:val="Ttulo2Car"/>
    <w:uiPriority w:val="9"/>
    <w:unhideWhenUsed/>
    <w:qFormat/>
    <w:rsid w:val="00D736E2"/>
    <w:pPr>
      <w:ind w:left="107"/>
      <w:outlineLvl w:val="1"/>
    </w:pPr>
    <w:rPr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uiPriority w:val="10"/>
    <w:qFormat/>
    <w:rsid w:val="00D736E2"/>
    <w:pPr>
      <w:spacing w:before="89"/>
      <w:ind w:left="3977"/>
    </w:pPr>
    <w:rPr>
      <w:i/>
      <w:iCs/>
      <w:sz w:val="36"/>
      <w:szCs w:val="36"/>
      <w:u w:val="single" w:color="000000"/>
    </w:rPr>
  </w:style>
  <w:style w:type="table" w:customStyle="1" w:styleId="TableNormal0">
    <w:name w:val="Table Normal"/>
    <w:uiPriority w:val="2"/>
    <w:semiHidden/>
    <w:unhideWhenUsed/>
    <w:qFormat/>
    <w:rsid w:val="00D736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D736E2"/>
    <w:rPr>
      <w:i/>
      <w:iCs/>
      <w:sz w:val="24"/>
      <w:szCs w:val="24"/>
    </w:rPr>
  </w:style>
  <w:style w:type="paragraph" w:styleId="Prrafodelista">
    <w:name w:val="List Paragraph"/>
    <w:basedOn w:val="Normal"/>
    <w:uiPriority w:val="34"/>
    <w:qFormat/>
    <w:rsid w:val="00D736E2"/>
    <w:pPr>
      <w:spacing w:before="13"/>
      <w:ind w:left="828" w:hanging="361"/>
    </w:pPr>
  </w:style>
  <w:style w:type="paragraph" w:customStyle="1" w:styleId="TableParagraph">
    <w:name w:val="Table Paragraph"/>
    <w:basedOn w:val="Normal"/>
    <w:uiPriority w:val="1"/>
    <w:qFormat/>
    <w:rsid w:val="00D736E2"/>
  </w:style>
  <w:style w:type="paragraph" w:styleId="Encabezado">
    <w:name w:val="header"/>
    <w:basedOn w:val="Normal"/>
    <w:link w:val="EncabezadoCar"/>
    <w:uiPriority w:val="99"/>
    <w:unhideWhenUsed/>
    <w:rsid w:val="00984D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4D4F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84D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4D4F"/>
    <w:rPr>
      <w:rFonts w:ascii="Arial" w:eastAsia="Arial" w:hAnsi="Arial" w:cs="Arial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E960F9"/>
    <w:rPr>
      <w:rFonts w:ascii="Arial" w:eastAsia="Arial" w:hAnsi="Arial" w:cs="Arial"/>
      <w:b/>
      <w:bCs/>
      <w:i/>
      <w:iCs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960F9"/>
    <w:rPr>
      <w:rFonts w:ascii="Arial" w:eastAsia="Arial" w:hAnsi="Arial" w:cs="Arial"/>
      <w:i/>
      <w:iCs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25B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25B8"/>
    <w:rPr>
      <w:rFonts w:ascii="Tahoma" w:eastAsia="Arial" w:hAnsi="Tahoma" w:cs="Tahoma"/>
      <w:sz w:val="16"/>
      <w:szCs w:val="16"/>
      <w:lang w:val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OvyfVC+GP8ZUW/4oB9vNLNfA3w==">CgMxLjAaJgoBMBIhCh8IB0IbCgdWZXJkYW5hEhBBcmlhbCBVbmljb2RlIE1TGiYKATESIQofCAdCGwoHVmVyZGFuYRIQQXJpYWwgVW5pY29kZSBNUzIOaC5pbGF5cWluMGsxNmwyDmguaDAwYmJtNDZ3dnpnMg5oLnk3cTBscXBtaHZ3dzIOaC4xcWg4a2puN3hsZ2EyDmguaWdkNHltYTF0a2hkMg5oLm1uNWgzZXhvMjl6cTgAciExOE9BVnV2alAtNnQxaE9paGxGTnNnS0ZnaU9za09VT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1547</Words>
  <Characters>8511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Zuli</cp:lastModifiedBy>
  <cp:revision>2</cp:revision>
  <dcterms:created xsi:type="dcterms:W3CDTF">2026-03-23T00:04:00Z</dcterms:created>
  <dcterms:modified xsi:type="dcterms:W3CDTF">2026-03-23T00:04:00Z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2024-03-31T00:00:00Z</vt:filetime>
  </property>
</Properties>
</file>