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:rsidR="00C379E4" w:rsidRDefault="009370E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Programa DIDÁCTICA DE LAS CIENCIAS NATURALES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3"/>
        <w:jc w:val="center"/>
        <w:rPr>
          <w:rFonts w:ascii="Arial" w:eastAsia="Arial" w:hAnsi="Arial" w:cs="Arial"/>
          <w:color w:val="000000"/>
          <w:sz w:val="28"/>
          <w:szCs w:val="28"/>
        </w:rPr>
      </w:pPr>
    </w:p>
    <w:p w:rsidR="00C379E4" w:rsidRDefault="009370E0">
      <w:pPr>
        <w:spacing w:before="92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CARRERA: </w:t>
      </w:r>
      <w:r>
        <w:rPr>
          <w:sz w:val="24"/>
          <w:szCs w:val="24"/>
        </w:rPr>
        <w:t>Profesorado de Educación Secundaría en Biología.</w:t>
      </w:r>
    </w:p>
    <w:p w:rsidR="00C379E4" w:rsidRDefault="009370E0">
      <w:pPr>
        <w:spacing w:before="137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CURSO Y COMISIÓN: </w:t>
      </w:r>
      <w:r>
        <w:rPr>
          <w:sz w:val="24"/>
          <w:szCs w:val="24"/>
        </w:rPr>
        <w:t xml:space="preserve">2do A </w:t>
      </w:r>
    </w:p>
    <w:p w:rsidR="00C379E4" w:rsidRDefault="009370E0">
      <w:pPr>
        <w:spacing w:before="137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ASIGNATURA:</w:t>
      </w:r>
      <w:r>
        <w:rPr>
          <w:sz w:val="24"/>
          <w:szCs w:val="24"/>
        </w:rPr>
        <w:t xml:space="preserve"> Didáctica de las Ciencias Naturales</w:t>
      </w:r>
    </w:p>
    <w:p w:rsidR="00C379E4" w:rsidRDefault="009370E0">
      <w:pPr>
        <w:spacing w:before="142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DOCENTE: </w:t>
      </w:r>
      <w:proofErr w:type="spellStart"/>
      <w:r>
        <w:rPr>
          <w:rFonts w:ascii="Arial" w:eastAsia="Arial" w:hAnsi="Arial" w:cs="Arial"/>
          <w:sz w:val="24"/>
          <w:szCs w:val="24"/>
        </w:rPr>
        <w:t>Prof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Lic. </w:t>
      </w:r>
      <w:r>
        <w:rPr>
          <w:sz w:val="24"/>
          <w:szCs w:val="24"/>
        </w:rPr>
        <w:t>Adriana Ban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HORAS DE CLASES SEMANALES: </w:t>
      </w:r>
      <w:r>
        <w:rPr>
          <w:sz w:val="24"/>
          <w:szCs w:val="24"/>
        </w:rPr>
        <w:t>2 horas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>PLAN: 3605_2022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>Fundamentación: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 La enseñanza </w:t>
      </w:r>
      <w:proofErr w:type="gramStart"/>
      <w:r>
        <w:rPr>
          <w:sz w:val="24"/>
          <w:szCs w:val="24"/>
        </w:rPr>
        <w:t>requiere  una</w:t>
      </w:r>
      <w:proofErr w:type="gramEnd"/>
      <w:r>
        <w:rPr>
          <w:sz w:val="24"/>
          <w:szCs w:val="24"/>
        </w:rPr>
        <w:t xml:space="preserve"> problematización del área a nivel escolar, y el campo específico de cada disciplina participante, su objeto de estudio y sus formas de producción y validación de conocimiento, considerando los principales posicionamientos epistemológicos. Es necesario abordar diferentes enfoques de la didáctica en torno al trabajo docente con los saberes de las y los estudiantes. Se propicia la construcción de diálogos grupales mediados por el/la docente donde se proponga una revisión colectiva y crítica de estos saberes y prácticas, la revalorización de aquellos aspectos que se reconozcan como constructivos y la </w:t>
      </w:r>
      <w:proofErr w:type="spellStart"/>
      <w:r>
        <w:rPr>
          <w:sz w:val="24"/>
          <w:szCs w:val="24"/>
        </w:rPr>
        <w:t>visibilización</w:t>
      </w:r>
      <w:proofErr w:type="spellEnd"/>
      <w:r>
        <w:rPr>
          <w:sz w:val="24"/>
          <w:szCs w:val="24"/>
        </w:rPr>
        <w:t xml:space="preserve"> e interpelación de las inconsistencias</w:t>
      </w:r>
    </w:p>
    <w:p w:rsidR="00C379E4" w:rsidRDefault="00C379E4">
      <w:pPr>
        <w:spacing w:before="136"/>
        <w:rPr>
          <w:sz w:val="24"/>
          <w:szCs w:val="24"/>
        </w:rPr>
      </w:pP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>Propósitos del docente: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>o -Desarrollar diferentes estrategias de enseñanza para los contenidos dados.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 o Proponer preguntas que problematicen y acerquen al alumno a generar hipótesis cada vez más científicas, en el ámbito científico escolar. 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o Facilitar la generación del propósito lector 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o Proveer los conocimientos necesarios para la construcción de los conceptos básicos sin proveer aquellos que obstaculicen la propia construcción por parte del estudiante. 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o - Promover situaciones de enseñanza que consideren como parte de la complejidad de la enseñanza de conceptos científicos, las representaciones y marcos conceptuales con los que los alumnos se aproximan a los nuevos conocimientos, para acompañarlos en el camino hacia construcciones más cercanas al conocimiento científico; 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o - Problematiza, a partir de situaciones cotidianas y/o hipotéticas, que permitan iniciar y transitar el camino desde las concepciones previas personales hacia los modelos y conocimientos científicos escolares que se busca enseñar; </w:t>
      </w:r>
    </w:p>
    <w:p w:rsidR="00C379E4" w:rsidRDefault="009370E0">
      <w:pPr>
        <w:spacing w:before="136"/>
        <w:rPr>
          <w:sz w:val="24"/>
          <w:szCs w:val="24"/>
        </w:rPr>
      </w:pPr>
      <w:r>
        <w:rPr>
          <w:sz w:val="24"/>
          <w:szCs w:val="24"/>
        </w:rPr>
        <w:t xml:space="preserve">o - Proponer modelizaciones para que los estudiantes construyan desde su actuación modos particulares de pensar y hacer que son propios de las ciencias naturales. </w:t>
      </w:r>
    </w:p>
    <w:p w:rsidR="00C379E4" w:rsidRDefault="00C379E4">
      <w:pPr>
        <w:spacing w:before="136"/>
        <w:rPr>
          <w:sz w:val="24"/>
          <w:szCs w:val="24"/>
        </w:rPr>
      </w:pPr>
    </w:p>
    <w:p w:rsidR="00C379E4" w:rsidRDefault="009370E0">
      <w:pPr>
        <w:pStyle w:val="Ttulo1"/>
        <w:ind w:left="0"/>
        <w:rPr>
          <w:b w:val="0"/>
          <w:bCs w:val="0"/>
        </w:rPr>
      </w:pPr>
      <w:r>
        <w:rPr>
          <w:b w:val="0"/>
          <w:bCs w:val="0"/>
        </w:rPr>
        <w:lastRenderedPageBreak/>
        <w:t>Expectativas de logro: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bCs/>
          <w:color w:val="000000"/>
        </w:rPr>
      </w:pP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Interpretación confiable sobre la construcción del conocimiento en la Ciencias Naturales y el propio de la Didáctica específica identificando posicionamiento epistemológico y el contexto histórico. 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Conocimiento sobre las finalidades educativas y la alfabetización científica. 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Fundamentación de líneas de trabajo de la Didáctica de las Ciencias Naturales vinculadas a CTS, ESI y Educación Ambiental.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Análisis de secuencias didácticas identificando los componentes involucrados en la elaboración de Proyectos Curriculares Institucionales y Áulicos: expectativas de logro, propósitos, contenidos, situaciones de enseñanza, recursos, técnicas, evaluación.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Utilización de marcos teóricos con perspectiva constructivista para justificar análisis de situaciones didácticas. 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Conocimiento de Criterios de Selección y Organización de Contenidos para distintas situaciones didácticas.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B2A1C7"/>
        </w:rPr>
      </w:pPr>
      <w:r>
        <w:rPr>
          <w:rFonts w:ascii="Arial" w:eastAsia="Arial" w:hAnsi="Arial" w:cs="Arial"/>
          <w:color w:val="000000"/>
        </w:rPr>
        <w:t>Justificación del análisis de secuencias didácticas de ciencias naturales</w:t>
      </w:r>
      <w:r>
        <w:rPr>
          <w:rFonts w:ascii="Arial" w:eastAsia="Arial" w:hAnsi="Arial" w:cs="Arial"/>
          <w:color w:val="B2A1C7"/>
        </w:rPr>
        <w:t xml:space="preserve">. 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Fundamentación de criterios para la selección de técnicas, estrategias, materiales didácticos y tecnológicos, en relación con los contenidos a enseñar, las características comunes a todos los alumnos del ciclo y/o nivel correspondiente y las necesidades especiales de algunos de ellos.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Evaluación de las estrategias de enseñanza empleadas y del proceso de aprendizaje.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Lectura y análisis crítico de diversas fuentes de información y producción de escritos con fundamentos teóricos y el uso de vocabulario específico. </w:t>
      </w:r>
    </w:p>
    <w:p w:rsidR="00C379E4" w:rsidRDefault="009370E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"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Valoración de los conocimientos e instrumentos psicológicos, pedagógicos y didáctico- metodológicos que suponen una asunción responsable de la docencia y del rol docente con las implicancias éticas que ello conlleva.</w:t>
      </w:r>
    </w:p>
    <w:p w:rsidR="00C379E4" w:rsidRDefault="00C379E4">
      <w:pPr>
        <w:pStyle w:val="Ttulo1"/>
        <w:ind w:left="0"/>
      </w:pPr>
    </w:p>
    <w:p w:rsidR="00C379E4" w:rsidRDefault="00C379E4">
      <w:pPr>
        <w:pStyle w:val="Ttulo1"/>
        <w:ind w:left="0"/>
      </w:pPr>
    </w:p>
    <w:p w:rsidR="00C379E4" w:rsidRDefault="009370E0">
      <w:pPr>
        <w:pStyle w:val="Ttulo1"/>
        <w:ind w:left="0"/>
      </w:pPr>
      <w:r>
        <w:t>Contenidos y bibliografía:</w:t>
      </w:r>
    </w:p>
    <w:p w:rsidR="00C379E4" w:rsidRDefault="00C379E4">
      <w:pPr>
        <w:pStyle w:val="Ttulo1"/>
        <w:ind w:left="0"/>
      </w:pPr>
    </w:p>
    <w:p w:rsidR="00C379E4" w:rsidRDefault="009370E0">
      <w:pPr>
        <w:pStyle w:val="Ttulo1"/>
        <w:ind w:left="0"/>
      </w:pPr>
      <w:r>
        <w:t>Unidad 1: Las Ciencias Naturales y su didáctica</w:t>
      </w:r>
    </w:p>
    <w:p w:rsidR="00C379E4" w:rsidRDefault="00C379E4">
      <w:pPr>
        <w:rPr>
          <w:rFonts w:ascii="Arial" w:eastAsia="Arial" w:hAnsi="Arial" w:cs="Arial"/>
          <w:b/>
          <w:bCs/>
        </w:rPr>
      </w:pPr>
    </w:p>
    <w:p w:rsidR="00C379E4" w:rsidRDefault="009370E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La construcción histórica de conocimiento en las Ciencias Naturales. Las ciencias como actividad humana. Sus formas de producción y validación de conocimiento, considerando brevemente los principales posicionamientos epistemológicos y su construcción histórica. La naturaleza de las ciencias y su enseñanza en la escuela secundaria. Lectura e interpretación de artículos científicos. </w:t>
      </w:r>
    </w:p>
    <w:p w:rsidR="00C379E4" w:rsidRDefault="009370E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El campo de la didáctica de las Ciencias Naturales. Los contextos de la actividad científica. Lectura y análisis de texto.</w:t>
      </w:r>
    </w:p>
    <w:p w:rsidR="00C379E4" w:rsidRDefault="00C379E4">
      <w:pPr>
        <w:jc w:val="both"/>
      </w:pPr>
    </w:p>
    <w:p w:rsidR="00C379E4" w:rsidRDefault="009370E0">
      <w:pPr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>Bibliografía obligatoria:</w:t>
      </w:r>
    </w:p>
    <w:p w:rsidR="00C379E4" w:rsidRDefault="009370E0">
      <w:pPr>
        <w:jc w:val="both"/>
      </w:pPr>
      <w:r>
        <w:t xml:space="preserve">          </w:t>
      </w:r>
    </w:p>
    <w:p w:rsidR="00C379E4" w:rsidRDefault="009370E0">
      <w:pPr>
        <w:jc w:val="both"/>
        <w:rPr>
          <w:b/>
          <w:bCs/>
          <w:color w:val="222222"/>
        </w:rPr>
      </w:pPr>
      <w:r>
        <w:t xml:space="preserve">           </w:t>
      </w:r>
      <w:r>
        <w:rPr>
          <w:rFonts w:ascii="Arial" w:eastAsia="Arial" w:hAnsi="Arial" w:cs="Arial"/>
        </w:rPr>
        <w:t xml:space="preserve"> </w:t>
      </w:r>
      <w:r>
        <w:rPr>
          <w:color w:val="222222"/>
          <w:highlight w:val="white"/>
        </w:rPr>
        <w:t xml:space="preserve">García, M., &amp; </w:t>
      </w:r>
      <w:proofErr w:type="spellStart"/>
      <w:r>
        <w:rPr>
          <w:color w:val="222222"/>
          <w:highlight w:val="white"/>
        </w:rPr>
        <w:t>Matkovic</w:t>
      </w:r>
      <w:proofErr w:type="spellEnd"/>
      <w:r>
        <w:rPr>
          <w:color w:val="222222"/>
          <w:highlight w:val="white"/>
        </w:rPr>
        <w:t xml:space="preserve">, L. (2012). El poder de la imaginación y de la creatividad </w:t>
      </w:r>
      <w:proofErr w:type="gramStart"/>
      <w:r>
        <w:rPr>
          <w:color w:val="222222"/>
          <w:highlight w:val="white"/>
        </w:rPr>
        <w:t>para  hacer</w:t>
      </w:r>
      <w:proofErr w:type="gramEnd"/>
      <w:r>
        <w:rPr>
          <w:color w:val="222222"/>
          <w:highlight w:val="white"/>
        </w:rPr>
        <w:t xml:space="preserve"> ciencia. </w:t>
      </w:r>
      <w:r>
        <w:rPr>
          <w:i/>
          <w:iCs/>
          <w:color w:val="222222"/>
          <w:highlight w:val="white"/>
        </w:rPr>
        <w:t>Química viva</w:t>
      </w:r>
      <w:r>
        <w:rPr>
          <w:color w:val="222222"/>
          <w:highlight w:val="white"/>
        </w:rPr>
        <w:t xml:space="preserve">, </w:t>
      </w:r>
      <w:r>
        <w:rPr>
          <w:i/>
          <w:iCs/>
          <w:color w:val="222222"/>
          <w:highlight w:val="white"/>
        </w:rPr>
        <w:t>11</w:t>
      </w:r>
      <w:r>
        <w:rPr>
          <w:color w:val="222222"/>
          <w:highlight w:val="white"/>
        </w:rPr>
        <w:t>(1), 53-67.</w:t>
      </w:r>
    </w:p>
    <w:p w:rsidR="00C379E4" w:rsidRDefault="00C379E4">
      <w:pPr>
        <w:jc w:val="both"/>
      </w:pPr>
    </w:p>
    <w:p w:rsidR="00C379E4" w:rsidRDefault="009370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b/>
          <w:bCs/>
          <w:color w:val="222222"/>
        </w:rPr>
      </w:pPr>
      <w:r>
        <w:rPr>
          <w:color w:val="222222"/>
        </w:rPr>
        <w:t xml:space="preserve">Furman, </w:t>
      </w:r>
      <w:proofErr w:type="gramStart"/>
      <w:r>
        <w:rPr>
          <w:color w:val="222222"/>
        </w:rPr>
        <w:t>M  y</w:t>
      </w:r>
      <w:proofErr w:type="gramEnd"/>
      <w:r>
        <w:rPr>
          <w:color w:val="222222"/>
        </w:rPr>
        <w:t xml:space="preserve"> Podestá, M. (2009).  </w:t>
      </w:r>
      <w:r>
        <w:rPr>
          <w:i/>
          <w:iCs/>
          <w:color w:val="222222"/>
        </w:rPr>
        <w:t xml:space="preserve">La aventura de enseñar ciencias naturales. </w:t>
      </w:r>
      <w:proofErr w:type="spellStart"/>
      <w:r>
        <w:rPr>
          <w:i/>
          <w:iCs/>
          <w:color w:val="222222"/>
        </w:rPr>
        <w:t>Cap</w:t>
      </w:r>
      <w:proofErr w:type="spellEnd"/>
      <w:r>
        <w:rPr>
          <w:i/>
          <w:iCs/>
          <w:color w:val="222222"/>
        </w:rPr>
        <w:t xml:space="preserve"> 1. Bs As, </w:t>
      </w:r>
      <w:proofErr w:type="spellStart"/>
      <w:r>
        <w:rPr>
          <w:i/>
          <w:iCs/>
          <w:color w:val="222222"/>
        </w:rPr>
        <w:t>Aique</w:t>
      </w:r>
      <w:proofErr w:type="spellEnd"/>
      <w:r>
        <w:rPr>
          <w:i/>
          <w:iCs/>
          <w:color w:val="222222"/>
        </w:rPr>
        <w:t>.</w:t>
      </w:r>
      <w:r>
        <w:rPr>
          <w:b/>
          <w:bCs/>
          <w:color w:val="222222"/>
        </w:rPr>
        <w:t xml:space="preserve"> </w:t>
      </w:r>
    </w:p>
    <w:p w:rsidR="00C379E4" w:rsidRPr="0055738E" w:rsidRDefault="009370E0">
      <w:pPr>
        <w:numPr>
          <w:ilvl w:val="0"/>
          <w:numId w:val="2"/>
        </w:numPr>
        <w:spacing w:before="159"/>
        <w:rPr>
          <w:b/>
          <w:bCs/>
          <w:color w:val="222222"/>
          <w:lang w:val="en-US"/>
        </w:rPr>
      </w:pPr>
      <w:r>
        <w:rPr>
          <w:color w:val="222222"/>
          <w:highlight w:val="white"/>
        </w:rPr>
        <w:t>Sanmartí, N. (2002). </w:t>
      </w:r>
      <w:r>
        <w:rPr>
          <w:i/>
          <w:iCs/>
          <w:color w:val="222222"/>
          <w:highlight w:val="white"/>
        </w:rPr>
        <w:t>Didáctica de las ciencias en la educación secundaria obligatoria</w:t>
      </w:r>
      <w:r>
        <w:rPr>
          <w:color w:val="222222"/>
          <w:highlight w:val="white"/>
        </w:rPr>
        <w:t xml:space="preserve">. </w:t>
      </w:r>
      <w:r w:rsidRPr="0055738E">
        <w:rPr>
          <w:color w:val="222222"/>
          <w:highlight w:val="white"/>
          <w:lang w:val="en-US"/>
        </w:rPr>
        <w:t xml:space="preserve">Cap.2 </w:t>
      </w:r>
      <w:hyperlink r:id="rId8">
        <w:r w:rsidRPr="0055738E">
          <w:rPr>
            <w:color w:val="222222"/>
            <w:highlight w:val="white"/>
            <w:u w:val="single"/>
            <w:lang w:val="en-US"/>
          </w:rPr>
          <w:t>https://www.academia.edu/40505877/Didactica_de_las_ciencias_en_la_Educacion_Secundaria_Obligatoria_Neus_Sanmarti_pdf</w:t>
        </w:r>
      </w:hyperlink>
    </w:p>
    <w:p w:rsidR="00C379E4" w:rsidRDefault="009370E0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u w:val="single"/>
        </w:rPr>
      </w:pPr>
      <w:r w:rsidRPr="0055738E">
        <w:rPr>
          <w:lang w:val="en-US"/>
        </w:rPr>
        <w:t xml:space="preserve">           </w:t>
      </w:r>
      <w:r w:rsidRPr="0055738E">
        <w:rPr>
          <w:u w:val="single"/>
          <w:lang w:val="en-US"/>
        </w:rPr>
        <w:t xml:space="preserve"> </w:t>
      </w:r>
      <w:r>
        <w:rPr>
          <w:rFonts w:ascii="Arial" w:eastAsia="Arial" w:hAnsi="Arial" w:cs="Arial"/>
          <w:color w:val="000000"/>
          <w:u w:val="single"/>
        </w:rPr>
        <w:t>Bibliografía consulta</w:t>
      </w:r>
      <w:r>
        <w:rPr>
          <w:u w:val="single"/>
        </w:rPr>
        <w:t xml:space="preserve">          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Arial" w:eastAsia="Arial" w:hAnsi="Arial" w:cs="Arial"/>
          <w:color w:val="000000"/>
        </w:rPr>
      </w:pPr>
    </w:p>
    <w:p w:rsidR="00C379E4" w:rsidRDefault="009370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222222"/>
          <w:highlight w:val="white"/>
        </w:rPr>
        <w:t>Galagovsky</w:t>
      </w:r>
      <w:proofErr w:type="spellEnd"/>
      <w:r>
        <w:rPr>
          <w:rFonts w:ascii="Arial" w:eastAsia="Arial" w:hAnsi="Arial" w:cs="Arial"/>
          <w:color w:val="222222"/>
          <w:highlight w:val="white"/>
        </w:rPr>
        <w:t>, L. (2008). ¿Qué tienen de “naturales” las ciencias naturales? </w:t>
      </w:r>
      <w:r>
        <w:rPr>
          <w:rFonts w:ascii="Arial" w:eastAsia="Arial" w:hAnsi="Arial" w:cs="Arial"/>
          <w:i/>
          <w:iCs/>
          <w:color w:val="222222"/>
          <w:highlight w:val="white"/>
        </w:rPr>
        <w:t xml:space="preserve">Colección Las Ciencias Naturales y su Enseñanza. Buenos Aires: Editorial </w:t>
      </w:r>
      <w:proofErr w:type="spellStart"/>
      <w:r>
        <w:rPr>
          <w:rFonts w:ascii="Arial" w:eastAsia="Arial" w:hAnsi="Arial" w:cs="Arial"/>
          <w:i/>
          <w:iCs/>
          <w:color w:val="222222"/>
          <w:highlight w:val="white"/>
        </w:rPr>
        <w:t>Biblos</w:t>
      </w:r>
      <w:proofErr w:type="spellEnd"/>
      <w:r>
        <w:rPr>
          <w:rFonts w:ascii="Arial" w:eastAsia="Arial" w:hAnsi="Arial" w:cs="Arial"/>
          <w:color w:val="222222"/>
          <w:highlight w:val="white"/>
        </w:rPr>
        <w:t>. Cap. 2</w:t>
      </w:r>
    </w:p>
    <w:p w:rsidR="00C379E4" w:rsidRDefault="009370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  <w:highlight w:val="white"/>
        </w:rPr>
        <w:t xml:space="preserve">UBA, </w:t>
      </w:r>
      <w:proofErr w:type="spellStart"/>
      <w:r>
        <w:rPr>
          <w:rFonts w:ascii="Arial" w:eastAsia="Arial" w:hAnsi="Arial" w:cs="Arial"/>
          <w:color w:val="222222"/>
          <w:highlight w:val="white"/>
        </w:rPr>
        <w:t>Aduriz</w:t>
      </w:r>
      <w:proofErr w:type="spellEnd"/>
      <w:r>
        <w:rPr>
          <w:rFonts w:ascii="Arial" w:eastAsia="Arial" w:hAnsi="Arial" w:cs="Arial"/>
          <w:color w:val="222222"/>
          <w:highlight w:val="white"/>
        </w:rPr>
        <w:t xml:space="preserve"> Bravo, A. (2022). La Didáctica Específica de las Ciencias Naturales y la </w:t>
      </w:r>
      <w:r>
        <w:rPr>
          <w:color w:val="222222"/>
          <w:highlight w:val="white"/>
        </w:rPr>
        <w:t>Construcción</w:t>
      </w:r>
      <w:r>
        <w:rPr>
          <w:rFonts w:ascii="Arial" w:eastAsia="Arial" w:hAnsi="Arial" w:cs="Arial"/>
          <w:color w:val="222222"/>
          <w:highlight w:val="white"/>
        </w:rPr>
        <w:t xml:space="preserve"> de la </w:t>
      </w:r>
      <w:r>
        <w:rPr>
          <w:color w:val="222222"/>
          <w:highlight w:val="white"/>
        </w:rPr>
        <w:t>Ciencia</w:t>
      </w:r>
      <w:r>
        <w:rPr>
          <w:rFonts w:ascii="Arial" w:eastAsia="Arial" w:hAnsi="Arial" w:cs="Arial"/>
          <w:color w:val="222222"/>
          <w:highlight w:val="white"/>
        </w:rPr>
        <w:t xml:space="preserve"> escolar. </w:t>
      </w:r>
      <w:r>
        <w:rPr>
          <w:rFonts w:ascii="Arial" w:eastAsia="Arial" w:hAnsi="Arial" w:cs="Arial"/>
          <w:i/>
          <w:iCs/>
          <w:color w:val="222222"/>
          <w:highlight w:val="white"/>
        </w:rPr>
        <w:t>Conversaciones entre la enseñanza y el campo didáctico</w:t>
      </w:r>
      <w:r>
        <w:rPr>
          <w:rFonts w:ascii="Arial" w:eastAsia="Arial" w:hAnsi="Arial" w:cs="Arial"/>
          <w:color w:val="222222"/>
          <w:highlight w:val="white"/>
        </w:rPr>
        <w:t>, 10-23.</w:t>
      </w:r>
      <w:r>
        <w:rPr>
          <w:rFonts w:ascii="Arial" w:eastAsia="Arial" w:hAnsi="Arial" w:cs="Arial"/>
          <w:color w:val="000000"/>
        </w:rPr>
        <w:t xml:space="preserve"> </w:t>
      </w:r>
      <w:hyperlink r:id="rId9">
        <w:r>
          <w:rPr>
            <w:rFonts w:ascii="Arial" w:eastAsia="Arial" w:hAnsi="Arial" w:cs="Arial"/>
            <w:color w:val="222222"/>
            <w:highlight w:val="white"/>
            <w:u w:val="single"/>
          </w:rPr>
          <w:t>https://bibliotecavirtual.unl.edu.ar:8443/bitstream/handle/11185/6708/conversacionesEnse%C3%B1anza_AA.pdf?sequence=1&amp;isAllowed=y</w:t>
        </w:r>
      </w:hyperlink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159"/>
        <w:ind w:left="720"/>
        <w:rPr>
          <w:rFonts w:ascii="Arial" w:eastAsia="Arial" w:hAnsi="Arial" w:cs="Arial"/>
          <w:color w:val="000000"/>
        </w:rPr>
      </w:pPr>
    </w:p>
    <w:p w:rsidR="00C379E4" w:rsidRDefault="009370E0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Unidad 2:  Enfoques de enseñanza de las Ciencias Naturales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159"/>
        <w:rPr>
          <w:rFonts w:ascii="Arial" w:eastAsia="Arial" w:hAnsi="Arial" w:cs="Arial"/>
          <w:b/>
          <w:bCs/>
          <w:color w:val="000000"/>
        </w:rPr>
      </w:pPr>
    </w:p>
    <w:p w:rsidR="00C379E4" w:rsidRDefault="009370E0">
      <w:pPr>
        <w:jc w:val="both"/>
      </w:pPr>
      <w:r>
        <w:t xml:space="preserve">Finalidades educativas, sujetos de la educación y modelos docentes. La enseñanza y el aprendizaje. La transposición didáctica. La construcción de sentido. Conocimiento cotidiano, conocimiento científico.  Alfabetización científica y tecnológica. Finalidades. Discusiones y diversas posturas. Ciencia escolar. CTSA. STEAM.  Estrategias de enseñanza. Controversias. El lenguaje de las ciencias. Debates y argumentaciones. Lectura y análisis de secuencias didácticas. La escritura y su función epistémica. Escritura de textos breves.  </w:t>
      </w:r>
    </w:p>
    <w:p w:rsidR="00C379E4" w:rsidRDefault="00C379E4">
      <w:pPr>
        <w:jc w:val="both"/>
      </w:pPr>
    </w:p>
    <w:p w:rsidR="00C379E4" w:rsidRDefault="009370E0">
      <w:pPr>
        <w:jc w:val="both"/>
        <w:rPr>
          <w:u w:val="single"/>
        </w:rPr>
      </w:pPr>
      <w:r>
        <w:t xml:space="preserve">           </w:t>
      </w:r>
      <w:r>
        <w:rPr>
          <w:u w:val="single"/>
        </w:rPr>
        <w:t xml:space="preserve">Bibliografía obligatoria: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Jiménez Aleixandre, M.P. (2005). La práctica </w:t>
      </w:r>
      <w:r>
        <w:t>docente</w:t>
      </w:r>
      <w:r>
        <w:rPr>
          <w:rFonts w:ascii="Arial" w:eastAsia="Arial" w:hAnsi="Arial" w:cs="Arial"/>
          <w:color w:val="000000"/>
        </w:rPr>
        <w:t xml:space="preserve"> y los modelos didácticos. </w:t>
      </w:r>
      <w:r>
        <w:rPr>
          <w:rFonts w:ascii="Arial" w:eastAsia="Arial" w:hAnsi="Arial" w:cs="Arial"/>
          <w:i/>
          <w:iCs/>
          <w:color w:val="000000"/>
        </w:rPr>
        <w:t>Didáctica de las Ciencias Experimentales.</w:t>
      </w:r>
      <w:r>
        <w:rPr>
          <w:rFonts w:ascii="Arial" w:eastAsia="Arial" w:hAnsi="Arial" w:cs="Arial"/>
          <w:color w:val="000000"/>
        </w:rPr>
        <w:t xml:space="preserve"> (pp. 167-186). Ed. Grao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Lerner, D. (1995). “La enseñanza y el aprendizaje escolar. Alegato contra una falsa oposición”, </w:t>
      </w:r>
      <w:proofErr w:type="spellStart"/>
      <w:r>
        <w:rPr>
          <w:rFonts w:ascii="Arial" w:eastAsia="Arial" w:hAnsi="Arial" w:cs="Arial"/>
          <w:color w:val="000000"/>
        </w:rPr>
        <w:t>pp</w:t>
      </w:r>
      <w:proofErr w:type="spellEnd"/>
      <w:r>
        <w:rPr>
          <w:rFonts w:ascii="Arial" w:eastAsia="Arial" w:hAnsi="Arial" w:cs="Arial"/>
          <w:color w:val="000000"/>
        </w:rPr>
        <w:t xml:space="preserve"> 92-113, en J. C. Castorina y otros. </w:t>
      </w:r>
      <w:r>
        <w:rPr>
          <w:rFonts w:ascii="Arial" w:eastAsia="Arial" w:hAnsi="Arial" w:cs="Arial"/>
          <w:i/>
          <w:iCs/>
          <w:color w:val="000000"/>
        </w:rPr>
        <w:t>Piaget-</w:t>
      </w:r>
      <w:proofErr w:type="spellStart"/>
      <w:r>
        <w:rPr>
          <w:rFonts w:ascii="Arial" w:eastAsia="Arial" w:hAnsi="Arial" w:cs="Arial"/>
          <w:i/>
          <w:iCs/>
          <w:color w:val="000000"/>
        </w:rPr>
        <w:t>Vigotsky</w:t>
      </w:r>
      <w:proofErr w:type="spellEnd"/>
      <w:r>
        <w:rPr>
          <w:rFonts w:ascii="Arial" w:eastAsia="Arial" w:hAnsi="Arial" w:cs="Arial"/>
          <w:i/>
          <w:iCs/>
          <w:color w:val="000000"/>
        </w:rPr>
        <w:t>: contribuciones para replantear el debate</w:t>
      </w:r>
      <w:r>
        <w:rPr>
          <w:rFonts w:ascii="Arial" w:eastAsia="Arial" w:hAnsi="Arial" w:cs="Arial"/>
          <w:color w:val="000000"/>
        </w:rPr>
        <w:t xml:space="preserve">. Paidós.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Espinoza, A., </w:t>
      </w:r>
      <w:proofErr w:type="spellStart"/>
      <w:r>
        <w:rPr>
          <w:rFonts w:ascii="Arial" w:eastAsia="Arial" w:hAnsi="Arial" w:cs="Arial"/>
          <w:color w:val="000000"/>
        </w:rPr>
        <w:t>Casamajor</w:t>
      </w:r>
      <w:proofErr w:type="spellEnd"/>
      <w:r>
        <w:rPr>
          <w:rFonts w:ascii="Arial" w:eastAsia="Arial" w:hAnsi="Arial" w:cs="Arial"/>
          <w:color w:val="000000"/>
        </w:rPr>
        <w:t xml:space="preserve">, A., </w:t>
      </w:r>
      <w:proofErr w:type="spellStart"/>
      <w:r>
        <w:rPr>
          <w:rFonts w:ascii="Arial" w:eastAsia="Arial" w:hAnsi="Arial" w:cs="Arial"/>
          <w:color w:val="000000"/>
        </w:rPr>
        <w:t>Pitton</w:t>
      </w:r>
      <w:proofErr w:type="spellEnd"/>
      <w:r>
        <w:rPr>
          <w:rFonts w:ascii="Arial" w:eastAsia="Arial" w:hAnsi="Arial" w:cs="Arial"/>
          <w:color w:val="000000"/>
        </w:rPr>
        <w:t xml:space="preserve">, E. (2009) Enseñar a leer textos de ciencias. Ed. </w:t>
      </w:r>
      <w:proofErr w:type="spellStart"/>
      <w:r>
        <w:rPr>
          <w:rFonts w:ascii="Arial" w:eastAsia="Arial" w:hAnsi="Arial" w:cs="Arial"/>
          <w:color w:val="000000"/>
        </w:rPr>
        <w:t>Paidos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Cap</w:t>
      </w:r>
      <w:proofErr w:type="spellEnd"/>
      <w:r>
        <w:rPr>
          <w:rFonts w:ascii="Arial" w:eastAsia="Arial" w:hAnsi="Arial" w:cs="Arial"/>
          <w:color w:val="000000"/>
        </w:rPr>
        <w:t xml:space="preserve"> 1. Cap. 2 </w:t>
      </w:r>
      <w:proofErr w:type="spellStart"/>
      <w:r>
        <w:rPr>
          <w:rFonts w:ascii="Arial" w:eastAsia="Arial" w:hAnsi="Arial" w:cs="Arial"/>
          <w:color w:val="000000"/>
        </w:rPr>
        <w:t>pp</w:t>
      </w:r>
      <w:proofErr w:type="spellEnd"/>
      <w:r>
        <w:rPr>
          <w:rFonts w:ascii="Arial" w:eastAsia="Arial" w:hAnsi="Arial" w:cs="Arial"/>
          <w:color w:val="000000"/>
        </w:rPr>
        <w:t xml:space="preserve"> 1-64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Joselevich</w:t>
      </w:r>
      <w:proofErr w:type="spellEnd"/>
      <w:r>
        <w:rPr>
          <w:rFonts w:ascii="Arial" w:eastAsia="Arial" w:hAnsi="Arial" w:cs="Arial"/>
          <w:color w:val="000000"/>
        </w:rPr>
        <w:t>, M y otros (2014) “Secuencia didáctica: La oruga del vestido.” En Ciencias Naturales y TIC: Orientaciones para la enseñanza. Equipo de Ciencias Naturales del Plan Escuelas de Innovación de la Dirección de Comunicación y Contenidos del Programa Conectar Igualdad de ANSES.</w:t>
      </w:r>
    </w:p>
    <w:p w:rsidR="00C379E4" w:rsidRDefault="009370E0">
      <w:pPr>
        <w:numPr>
          <w:ilvl w:val="0"/>
          <w:numId w:val="2"/>
        </w:numPr>
        <w:spacing w:before="124"/>
      </w:pPr>
      <w:r>
        <w:rPr>
          <w:color w:val="222222"/>
        </w:rPr>
        <w:t xml:space="preserve">Furman, </w:t>
      </w:r>
      <w:proofErr w:type="gramStart"/>
      <w:r>
        <w:rPr>
          <w:color w:val="222222"/>
        </w:rPr>
        <w:t>M  y</w:t>
      </w:r>
      <w:proofErr w:type="gramEnd"/>
      <w:r>
        <w:rPr>
          <w:color w:val="222222"/>
        </w:rPr>
        <w:t xml:space="preserve"> Podestá, M. (2009).  </w:t>
      </w:r>
      <w:r>
        <w:rPr>
          <w:i/>
          <w:iCs/>
          <w:color w:val="222222"/>
        </w:rPr>
        <w:t xml:space="preserve">La aventura de enseñar ciencias naturales. </w:t>
      </w:r>
      <w:proofErr w:type="spellStart"/>
      <w:r>
        <w:rPr>
          <w:i/>
          <w:iCs/>
          <w:color w:val="222222"/>
        </w:rPr>
        <w:t>Cap</w:t>
      </w:r>
      <w:proofErr w:type="spellEnd"/>
      <w:r>
        <w:rPr>
          <w:i/>
          <w:iCs/>
          <w:color w:val="222222"/>
        </w:rPr>
        <w:t xml:space="preserve"> 2. Bs As, </w:t>
      </w:r>
      <w:proofErr w:type="spellStart"/>
      <w:r>
        <w:rPr>
          <w:i/>
          <w:iCs/>
          <w:color w:val="222222"/>
        </w:rPr>
        <w:t>Aique</w:t>
      </w:r>
      <w:proofErr w:type="spellEnd"/>
      <w:r>
        <w:rPr>
          <w:i/>
          <w:iCs/>
          <w:color w:val="222222"/>
        </w:rPr>
        <w:t>.</w:t>
      </w:r>
      <w:r>
        <w:rPr>
          <w:b/>
          <w:bCs/>
          <w:color w:val="222222"/>
        </w:rPr>
        <w:t xml:space="preserve">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Acevedo-Díaz, J. A. (2004) Reflexiones sobre las finalidades de la enseñanza de las ciencias: educación científica para la ciudadanía. </w:t>
      </w:r>
      <w:r>
        <w:rPr>
          <w:rFonts w:ascii="Arial" w:eastAsia="Arial" w:hAnsi="Arial" w:cs="Arial"/>
          <w:i/>
          <w:iCs/>
          <w:color w:val="000000"/>
        </w:rPr>
        <w:t>Revista Eureka sobre Enseñanza y Divulgación de las Ciencias</w:t>
      </w:r>
      <w:r>
        <w:rPr>
          <w:rFonts w:ascii="Arial" w:eastAsia="Arial" w:hAnsi="Arial" w:cs="Arial"/>
          <w:color w:val="000000"/>
        </w:rPr>
        <w:t xml:space="preserve">, vol. 1, núm. 1, enero, 2004, pp. 3-16 Disponible en: </w:t>
      </w:r>
      <w:hyperlink r:id="rId10">
        <w:r>
          <w:rPr>
            <w:rFonts w:ascii="Arial" w:eastAsia="Arial" w:hAnsi="Arial" w:cs="Arial"/>
            <w:color w:val="222222"/>
            <w:u w:val="single"/>
          </w:rPr>
          <w:t>http://www.redalyc.org/articulo.oa?id=92010102</w:t>
        </w:r>
      </w:hyperlink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Osorio Marulanda, C.; Cuartas Jaramillo, M.; Restrepo, J.; (2005) CTS, Tecnología y Sociedad. Manual de trabajo para docentes y estudiantes de educación básica, secundaria y media. Capítulo 4: “Los temas bajo la educación CTS”. Colciencias, Universidad del Valle y OEI. Disponible en </w:t>
      </w:r>
      <w:hyperlink r:id="rId11">
        <w:r>
          <w:rPr>
            <w:rFonts w:ascii="Arial" w:eastAsia="Arial" w:hAnsi="Arial" w:cs="Arial"/>
            <w:color w:val="222222"/>
            <w:u w:val="single"/>
          </w:rPr>
          <w:t>http://www.oei.es/salactsi/uvalle/gdd_capitulo4.htm</w:t>
        </w:r>
      </w:hyperlink>
    </w:p>
    <w:p w:rsidR="00C379E4" w:rsidRDefault="00C379E4">
      <w:pPr>
        <w:widowControl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rPr>
          <w:rFonts w:ascii="Arial" w:eastAsia="Arial" w:hAnsi="Arial" w:cs="Arial"/>
          <w:color w:val="000000"/>
          <w:u w:val="single"/>
        </w:rPr>
      </w:pPr>
      <w:r>
        <w:rPr>
          <w:rFonts w:ascii="Arial" w:eastAsia="Arial" w:hAnsi="Arial" w:cs="Arial"/>
          <w:color w:val="000000"/>
          <w:u w:val="single"/>
        </w:rPr>
        <w:t>Bibliografía de consulta: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 xml:space="preserve">Torres </w:t>
      </w:r>
      <w:proofErr w:type="spellStart"/>
      <w:r>
        <w:rPr>
          <w:rFonts w:ascii="Arial" w:eastAsia="Arial" w:hAnsi="Arial" w:cs="Arial"/>
          <w:color w:val="000000"/>
        </w:rPr>
        <w:t>Merchan</w:t>
      </w:r>
      <w:proofErr w:type="spellEnd"/>
      <w:r>
        <w:rPr>
          <w:rFonts w:ascii="Arial" w:eastAsia="Arial" w:hAnsi="Arial" w:cs="Arial"/>
          <w:color w:val="000000"/>
        </w:rPr>
        <w:t xml:space="preserve">, N. (2011) Enfoque CTSA desde una perspectiva </w:t>
      </w:r>
      <w:proofErr w:type="spellStart"/>
      <w:r>
        <w:rPr>
          <w:rFonts w:ascii="Arial" w:eastAsia="Arial" w:hAnsi="Arial" w:cs="Arial"/>
          <w:color w:val="000000"/>
        </w:rPr>
        <w:t>freireana</w:t>
      </w:r>
      <w:proofErr w:type="spellEnd"/>
      <w:r>
        <w:rPr>
          <w:rFonts w:ascii="Arial" w:eastAsia="Arial" w:hAnsi="Arial" w:cs="Arial"/>
          <w:color w:val="000000"/>
        </w:rPr>
        <w:t xml:space="preserve">: contribuciones a una educación para el desenvolvimiento sustentable. </w:t>
      </w:r>
      <w:r>
        <w:rPr>
          <w:rFonts w:ascii="Arial" w:eastAsia="Arial" w:hAnsi="Arial" w:cs="Arial"/>
          <w:i/>
          <w:iCs/>
          <w:color w:val="000000"/>
        </w:rPr>
        <w:t>Educación y Ciencia.</w:t>
      </w:r>
      <w:r>
        <w:rPr>
          <w:rFonts w:ascii="Arial" w:eastAsia="Arial" w:hAnsi="Arial" w:cs="Arial"/>
          <w:color w:val="000000"/>
        </w:rPr>
        <w:t>14 pp181-192</w:t>
      </w:r>
    </w:p>
    <w:p w:rsidR="00C379E4" w:rsidRDefault="009370E0">
      <w:pPr>
        <w:widowControl/>
        <w:numPr>
          <w:ilvl w:val="0"/>
          <w:numId w:val="2"/>
        </w:numPr>
        <w:spacing w:before="124"/>
      </w:pPr>
      <w:r>
        <w:t xml:space="preserve">Diseño Curricular Orientación Ciencias Naturales, Ambiente Desarrollo y Sociedad para 6to año de Educación Secundaria, Dirección Gral. de Escuelas, </w:t>
      </w:r>
      <w:proofErr w:type="spellStart"/>
      <w:r>
        <w:t>Pcia</w:t>
      </w:r>
      <w:proofErr w:type="spellEnd"/>
      <w:r>
        <w:t xml:space="preserve">. de Bs.As. Diseño Curricular del Nivel Secundario. DGCYE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García Fuentes, O., Raposo Rivas, M., Martínez </w:t>
      </w:r>
      <w:proofErr w:type="spellStart"/>
      <w:r>
        <w:rPr>
          <w:rFonts w:ascii="Arial" w:eastAsia="Arial" w:hAnsi="Arial" w:cs="Arial"/>
          <w:color w:val="000000"/>
        </w:rPr>
        <w:t>Figueira</w:t>
      </w:r>
      <w:proofErr w:type="spellEnd"/>
      <w:r>
        <w:rPr>
          <w:rFonts w:ascii="Arial" w:eastAsia="Arial" w:hAnsi="Arial" w:cs="Arial"/>
          <w:color w:val="000000"/>
        </w:rPr>
        <w:t>, M. E. (2023). El enfoque educativo STEAM: una revisión de la literatura. </w:t>
      </w:r>
      <w:r>
        <w:rPr>
          <w:rFonts w:ascii="Arial" w:eastAsia="Arial" w:hAnsi="Arial" w:cs="Arial"/>
          <w:i/>
          <w:iCs/>
          <w:color w:val="000000"/>
        </w:rPr>
        <w:t>Revista complutense de educación</w:t>
      </w:r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Pp</w:t>
      </w:r>
      <w:proofErr w:type="spellEnd"/>
      <w:r>
        <w:rPr>
          <w:rFonts w:ascii="Arial" w:eastAsia="Arial" w:hAnsi="Arial" w:cs="Arial"/>
          <w:color w:val="000000"/>
        </w:rPr>
        <w:t xml:space="preserve"> 191-202</w:t>
      </w:r>
    </w:p>
    <w:p w:rsidR="00C379E4" w:rsidRDefault="00C379E4">
      <w:pPr>
        <w:widowControl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Unidad 3: El diseño curricular y el aula de Ciencias Naturales</w:t>
      </w:r>
    </w:p>
    <w:p w:rsidR="00C379E4" w:rsidRDefault="00C379E4">
      <w:pPr>
        <w:widowControl/>
        <w:jc w:val="both"/>
        <w:rPr>
          <w:rFonts w:ascii="Arial" w:eastAsia="Arial" w:hAnsi="Arial" w:cs="Arial"/>
        </w:rPr>
      </w:pPr>
    </w:p>
    <w:p w:rsidR="00C379E4" w:rsidRDefault="009370E0">
      <w:pPr>
        <w:widowControl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</w:rPr>
        <w:t xml:space="preserve">Análisis pedagógico y didáctico de los diseños curriculares de Ciencias Naturales de la Educación Secundaria de la provincia de Buenos Aires. Implicancias de Leyes ESI y Educación ambiental. </w:t>
      </w:r>
    </w:p>
    <w:p w:rsidR="00C379E4" w:rsidRDefault="009370E0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Los saberes de los estudiantes en la enseñanza de las Ciencias Naturales; su utilización en propuestas didácticas. Los problemas de la enseñanza de las Ciencias Naturales. La inclusión educativa y la enseñanza de las Ciencias Naturales. Tipos de contenidos en la ciencia escolar. La integración de prácticas de lectura y escritura, de modelización y de actividades experimentales en la enseñanza de Ciencias Naturales. El uso de analogías. La historia de la ciencia y la enseñanza. Lectura y producción de textos variados. Revisitar y analizar las secuencias didácticas de unidades anteriores a la luz de la teoría incorporada. Introducción a la planificación didáctica de la enseñanza de las Ciencias Naturales.</w:t>
      </w:r>
    </w:p>
    <w:p w:rsidR="00C379E4" w:rsidRDefault="00C379E4">
      <w:pPr>
        <w:jc w:val="both"/>
      </w:pPr>
    </w:p>
    <w:p w:rsidR="00C379E4" w:rsidRDefault="009370E0">
      <w:pPr>
        <w:widowControl/>
        <w:rPr>
          <w:rFonts w:ascii="Arial" w:eastAsia="Arial" w:hAnsi="Arial" w:cs="Arial"/>
          <w:color w:val="000000"/>
          <w:u w:val="single"/>
        </w:rPr>
      </w:pPr>
      <w:r>
        <w:t xml:space="preserve">           </w:t>
      </w:r>
      <w:r>
        <w:rPr>
          <w:u w:val="single"/>
        </w:rPr>
        <w:t>Bibliografía Obligatoria: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Diseño Curricular Ciencias </w:t>
      </w:r>
      <w:r>
        <w:t>Naturales</w:t>
      </w:r>
      <w:r>
        <w:rPr>
          <w:rFonts w:ascii="Arial" w:eastAsia="Arial" w:hAnsi="Arial" w:cs="Arial"/>
          <w:color w:val="000000"/>
        </w:rPr>
        <w:t xml:space="preserve"> para 1er año de Educación Secundaria, Dirección Gral. de Escuelas, </w:t>
      </w:r>
      <w:proofErr w:type="spellStart"/>
      <w:r>
        <w:rPr>
          <w:rFonts w:ascii="Arial" w:eastAsia="Arial" w:hAnsi="Arial" w:cs="Arial"/>
          <w:color w:val="000000"/>
        </w:rPr>
        <w:t>Pcia</w:t>
      </w:r>
      <w:proofErr w:type="spellEnd"/>
      <w:r>
        <w:rPr>
          <w:rFonts w:ascii="Arial" w:eastAsia="Arial" w:hAnsi="Arial" w:cs="Arial"/>
          <w:color w:val="000000"/>
        </w:rPr>
        <w:t xml:space="preserve">. de Bs.As. Diseño Curricular del Nivel Secundario. DGCYE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Espinoza, A., </w:t>
      </w:r>
      <w:proofErr w:type="spellStart"/>
      <w:r>
        <w:rPr>
          <w:rFonts w:ascii="Arial" w:eastAsia="Arial" w:hAnsi="Arial" w:cs="Arial"/>
          <w:color w:val="000000"/>
        </w:rPr>
        <w:t>Casamajor</w:t>
      </w:r>
      <w:proofErr w:type="spellEnd"/>
      <w:r>
        <w:rPr>
          <w:rFonts w:ascii="Arial" w:eastAsia="Arial" w:hAnsi="Arial" w:cs="Arial"/>
          <w:color w:val="000000"/>
        </w:rPr>
        <w:t xml:space="preserve">, A., </w:t>
      </w:r>
      <w:proofErr w:type="spellStart"/>
      <w:r>
        <w:rPr>
          <w:rFonts w:ascii="Arial" w:eastAsia="Arial" w:hAnsi="Arial" w:cs="Arial"/>
          <w:color w:val="000000"/>
        </w:rPr>
        <w:t>Pitton</w:t>
      </w:r>
      <w:proofErr w:type="spellEnd"/>
      <w:r>
        <w:rPr>
          <w:rFonts w:ascii="Arial" w:eastAsia="Arial" w:hAnsi="Arial" w:cs="Arial"/>
          <w:color w:val="000000"/>
        </w:rPr>
        <w:t xml:space="preserve">, E. (2009) Enseñar a leer textos de ciencias. Ed. </w:t>
      </w:r>
      <w:proofErr w:type="spellStart"/>
      <w:r>
        <w:rPr>
          <w:rFonts w:ascii="Arial" w:eastAsia="Arial" w:hAnsi="Arial" w:cs="Arial"/>
          <w:color w:val="000000"/>
        </w:rPr>
        <w:t>Paidos</w:t>
      </w:r>
      <w:proofErr w:type="spellEnd"/>
      <w:r>
        <w:rPr>
          <w:rFonts w:ascii="Arial" w:eastAsia="Arial" w:hAnsi="Arial" w:cs="Arial"/>
          <w:color w:val="000000"/>
        </w:rPr>
        <w:t xml:space="preserve">.  Cap. 2 </w:t>
      </w:r>
      <w:proofErr w:type="spellStart"/>
      <w:r>
        <w:rPr>
          <w:rFonts w:ascii="Arial" w:eastAsia="Arial" w:hAnsi="Arial" w:cs="Arial"/>
          <w:color w:val="000000"/>
        </w:rPr>
        <w:t>pp</w:t>
      </w:r>
      <w:proofErr w:type="spellEnd"/>
      <w:r>
        <w:rPr>
          <w:rFonts w:ascii="Arial" w:eastAsia="Arial" w:hAnsi="Arial" w:cs="Arial"/>
          <w:color w:val="000000"/>
        </w:rPr>
        <w:t xml:space="preserve"> 67-80 y 86-90 (Representaciones y situaciones de enseñanza)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Feldman, D. (2010). La programación, en Didáctica General, Ministerio Ed. Nacional. </w:t>
      </w:r>
      <w:proofErr w:type="spellStart"/>
      <w:r>
        <w:rPr>
          <w:rFonts w:ascii="Arial" w:eastAsia="Arial" w:hAnsi="Arial" w:cs="Arial"/>
          <w:color w:val="000000"/>
        </w:rPr>
        <w:t>Pp</w:t>
      </w:r>
      <w:proofErr w:type="spellEnd"/>
      <w:r>
        <w:rPr>
          <w:rFonts w:ascii="Arial" w:eastAsia="Arial" w:hAnsi="Arial" w:cs="Arial"/>
          <w:color w:val="000000"/>
        </w:rPr>
        <w:t xml:space="preserve"> 49-55. (Contenidos)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Espinoza. A., </w:t>
      </w:r>
      <w:proofErr w:type="spellStart"/>
      <w:r>
        <w:rPr>
          <w:rFonts w:ascii="Arial" w:eastAsia="Arial" w:hAnsi="Arial" w:cs="Arial"/>
          <w:color w:val="000000"/>
        </w:rPr>
        <w:t>Casamajor</w:t>
      </w:r>
      <w:proofErr w:type="spellEnd"/>
      <w:r>
        <w:rPr>
          <w:rFonts w:ascii="Arial" w:eastAsia="Arial" w:hAnsi="Arial" w:cs="Arial"/>
          <w:color w:val="000000"/>
        </w:rPr>
        <w:t xml:space="preserve">. A. (2021). Repensar las situaciones de lectura en Ciencias Naturales, Ed. </w:t>
      </w:r>
      <w:proofErr w:type="spellStart"/>
      <w:r>
        <w:rPr>
          <w:rFonts w:ascii="Arial" w:eastAsia="Arial" w:hAnsi="Arial" w:cs="Arial"/>
          <w:color w:val="000000"/>
        </w:rPr>
        <w:t>Aique</w:t>
      </w:r>
      <w:proofErr w:type="spellEnd"/>
      <w:r>
        <w:rPr>
          <w:rFonts w:ascii="Arial" w:eastAsia="Arial" w:hAnsi="Arial" w:cs="Arial"/>
          <w:color w:val="000000"/>
        </w:rPr>
        <w:t xml:space="preserve"> (pp. 15-34). (Situaciones de enseñanza)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Audio: Intervenciones docente sobre la lectura. Aporte Proyecto </w:t>
      </w:r>
      <w:proofErr w:type="spellStart"/>
      <w:r>
        <w:rPr>
          <w:rFonts w:ascii="Arial" w:eastAsia="Arial" w:hAnsi="Arial" w:cs="Arial"/>
          <w:color w:val="000000"/>
        </w:rPr>
        <w:t>Ubacyt</w:t>
      </w:r>
      <w:proofErr w:type="spellEnd"/>
      <w:r>
        <w:rPr>
          <w:rFonts w:ascii="Arial" w:eastAsia="Arial" w:hAnsi="Arial" w:cs="Arial"/>
          <w:color w:val="000000"/>
        </w:rPr>
        <w:t xml:space="preserve"> 2018-2020 Equipo investigación CEFIEC- UBA_ Acevedo, C- </w:t>
      </w:r>
      <w:proofErr w:type="spellStart"/>
      <w:r>
        <w:rPr>
          <w:rFonts w:ascii="Arial" w:eastAsia="Arial" w:hAnsi="Arial" w:cs="Arial"/>
          <w:color w:val="000000"/>
        </w:rPr>
        <w:t>Casamajor</w:t>
      </w:r>
      <w:proofErr w:type="spellEnd"/>
      <w:r>
        <w:rPr>
          <w:rFonts w:ascii="Arial" w:eastAsia="Arial" w:hAnsi="Arial" w:cs="Arial"/>
          <w:color w:val="000000"/>
        </w:rPr>
        <w:t>, A. (Intervenciones docentes en lectura)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Instituto Nacional de Formación Docente (2014). Clase 3: Modelos de ciencia escolar y modelización. Didáctica de las Ciencias </w:t>
      </w:r>
      <w:r>
        <w:t>Naturales</w:t>
      </w:r>
      <w:r>
        <w:rPr>
          <w:rFonts w:ascii="Arial" w:eastAsia="Arial" w:hAnsi="Arial" w:cs="Arial"/>
          <w:color w:val="000000"/>
        </w:rPr>
        <w:t xml:space="preserve"> - Secundaria Especialización docente de Nivel Superior en Enseñanza de las Ciencias Naturales en la Escuela Secundaria. Buenos Aires: Ministerio de Educación de la Nación. (Modelos)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Galagovsky</w:t>
      </w:r>
      <w:proofErr w:type="spellEnd"/>
      <w:r>
        <w:rPr>
          <w:rFonts w:ascii="Arial" w:eastAsia="Arial" w:hAnsi="Arial" w:cs="Arial"/>
          <w:color w:val="000000"/>
        </w:rPr>
        <w:t>, L. (</w:t>
      </w:r>
      <w:proofErr w:type="spellStart"/>
      <w:r>
        <w:rPr>
          <w:rFonts w:ascii="Arial" w:eastAsia="Arial" w:hAnsi="Arial" w:cs="Arial"/>
          <w:color w:val="000000"/>
        </w:rPr>
        <w:t>Coord</w:t>
      </w:r>
      <w:proofErr w:type="spellEnd"/>
      <w:r>
        <w:rPr>
          <w:rFonts w:ascii="Arial" w:eastAsia="Arial" w:hAnsi="Arial" w:cs="Arial"/>
          <w:color w:val="000000"/>
        </w:rPr>
        <w:t xml:space="preserve">). (2008). ¿Qué tienen de “naturales” las ciencias naturales? Ed. </w:t>
      </w:r>
      <w:proofErr w:type="spellStart"/>
      <w:r>
        <w:rPr>
          <w:rFonts w:ascii="Arial" w:eastAsia="Arial" w:hAnsi="Arial" w:cs="Arial"/>
          <w:color w:val="000000"/>
        </w:rPr>
        <w:t>Biblos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gramStart"/>
      <w:r>
        <w:rPr>
          <w:rFonts w:ascii="Arial" w:eastAsia="Arial" w:hAnsi="Arial" w:cs="Arial"/>
          <w:color w:val="000000"/>
        </w:rPr>
        <w:t>( pp.</w:t>
      </w:r>
      <w:proofErr w:type="gramEnd"/>
      <w:r>
        <w:rPr>
          <w:rFonts w:ascii="Arial" w:eastAsia="Arial" w:hAnsi="Arial" w:cs="Arial"/>
          <w:color w:val="000000"/>
        </w:rPr>
        <w:t xml:space="preserve"> 61-70).  </w:t>
      </w:r>
    </w:p>
    <w:p w:rsidR="00C379E4" w:rsidRDefault="009370E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Colino, G. (2014). La ciencia en la escuela. Su fragilidad y cómo fortalecerla. Ed. Lugar (pp. 53-63// 93-97//99-102//133-141).</w:t>
      </w:r>
    </w:p>
    <w:p w:rsidR="00C379E4" w:rsidRDefault="00C379E4">
      <w:pPr>
        <w:widowControl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rPr>
          <w:rFonts w:ascii="Arial" w:eastAsia="Arial" w:hAnsi="Arial" w:cs="Arial"/>
          <w:color w:val="000000"/>
          <w:u w:val="single"/>
        </w:rPr>
      </w:pPr>
      <w:r>
        <w:t xml:space="preserve">            </w:t>
      </w:r>
      <w:r>
        <w:rPr>
          <w:rFonts w:ascii="Arial" w:eastAsia="Arial" w:hAnsi="Arial" w:cs="Arial"/>
          <w:color w:val="000000"/>
          <w:u w:val="single"/>
        </w:rPr>
        <w:t>Bibliografía de consulta: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lastRenderedPageBreak/>
        <w:t xml:space="preserve">Chamizo, J. A. C. (2010). Una tipología de los modelos para la enseñanza de las ciencias. Revista Eureka sobre enseñanza y divulgación de las ciencias, 7(1), 26-41. (modelos) </w:t>
      </w:r>
      <w:hyperlink r:id="rId12">
        <w:r>
          <w:rPr>
            <w:rFonts w:ascii="Arial" w:eastAsia="Arial" w:hAnsi="Arial" w:cs="Arial"/>
            <w:color w:val="222222"/>
            <w:u w:val="single"/>
          </w:rPr>
          <w:t>https://www.redalyc.org/pdf/920/92013011003.pdf</w:t>
        </w:r>
      </w:hyperlink>
      <w:r>
        <w:rPr>
          <w:rFonts w:ascii="Arial" w:eastAsia="Arial" w:hAnsi="Arial" w:cs="Arial"/>
          <w:color w:val="222222"/>
          <w:u w:val="single"/>
        </w:rPr>
        <w:t xml:space="preserve"> </w:t>
      </w:r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56" w:line="276" w:lineRule="auto"/>
        <w:ind w:right="123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Espinoza, A. </w:t>
      </w:r>
      <w:proofErr w:type="spellStart"/>
      <w:r>
        <w:rPr>
          <w:rFonts w:ascii="Arial" w:eastAsia="Arial" w:hAnsi="Arial" w:cs="Arial"/>
          <w:color w:val="000000"/>
        </w:rPr>
        <w:t>Casamajor</w:t>
      </w:r>
      <w:proofErr w:type="spellEnd"/>
      <w:r>
        <w:rPr>
          <w:rFonts w:ascii="Arial" w:eastAsia="Arial" w:hAnsi="Arial" w:cs="Arial"/>
          <w:color w:val="000000"/>
        </w:rPr>
        <w:t xml:space="preserve">, A. (2018) Leer para aprender Ciencias Naturales: un escenario poblado de imágenes, creencias y ocurrencias. Espacios en Blanco- Serie indagaciones. 28. Pp.107-129. </w:t>
      </w:r>
    </w:p>
    <w:p w:rsidR="00C379E4" w:rsidRDefault="009370E0">
      <w:pPr>
        <w:widowControl/>
        <w:numPr>
          <w:ilvl w:val="0"/>
          <w:numId w:val="2"/>
        </w:numPr>
        <w:spacing w:before="124"/>
        <w:rPr>
          <w:color w:val="FF0000"/>
          <w:sz w:val="24"/>
          <w:szCs w:val="24"/>
        </w:rPr>
      </w:pPr>
      <w:r>
        <w:rPr>
          <w:highlight w:val="white"/>
        </w:rPr>
        <w:t>Criado, S. P. (2017). El legado de Rachel Carson. </w:t>
      </w:r>
      <w:r>
        <w:rPr>
          <w:i/>
          <w:iCs/>
          <w:highlight w:val="white"/>
        </w:rPr>
        <w:t>Anales de Química de la RSEQ</w:t>
      </w:r>
      <w:r>
        <w:rPr>
          <w:highlight w:val="white"/>
        </w:rPr>
        <w:t>, </w:t>
      </w:r>
      <w:r>
        <w:rPr>
          <w:i/>
          <w:iCs/>
          <w:highlight w:val="white"/>
        </w:rPr>
        <w:t>113</w:t>
      </w:r>
      <w:r>
        <w:rPr>
          <w:highlight w:val="white"/>
        </w:rPr>
        <w:t>(4), 242-246</w:t>
      </w:r>
      <w:r>
        <w:rPr>
          <w:color w:val="FF0000"/>
          <w:highlight w:val="white"/>
        </w:rPr>
        <w:t>.</w:t>
      </w:r>
      <w:r>
        <w:t xml:space="preserve"> </w:t>
      </w:r>
      <w:hyperlink r:id="rId13">
        <w:r>
          <w:rPr>
            <w:color w:val="222222"/>
            <w:highlight w:val="white"/>
            <w:u w:val="single"/>
          </w:rPr>
          <w:t>https://analesdequimica.es/index.php/AnalesQuimica/article/view/1000</w:t>
        </w:r>
      </w:hyperlink>
    </w:p>
    <w:p w:rsidR="00C379E4" w:rsidRDefault="009370E0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4"/>
        <w:rPr>
          <w:rFonts w:ascii="Arial" w:eastAsia="Arial" w:hAnsi="Arial" w:cs="Arial"/>
          <w:color w:val="222222"/>
        </w:rPr>
      </w:pPr>
      <w:proofErr w:type="spellStart"/>
      <w:r>
        <w:rPr>
          <w:rFonts w:ascii="Arial" w:eastAsia="Arial" w:hAnsi="Arial" w:cs="Arial"/>
          <w:color w:val="222222"/>
          <w:highlight w:val="white"/>
        </w:rPr>
        <w:t>Arauzo</w:t>
      </w:r>
      <w:proofErr w:type="spellEnd"/>
      <w:r>
        <w:rPr>
          <w:rFonts w:ascii="Arial" w:eastAsia="Arial" w:hAnsi="Arial" w:cs="Arial"/>
          <w:color w:val="222222"/>
          <w:highlight w:val="white"/>
        </w:rPr>
        <w:t xml:space="preserve"> Ortega, S., y Greca </w:t>
      </w:r>
      <w:proofErr w:type="spellStart"/>
      <w:r>
        <w:rPr>
          <w:rFonts w:ascii="Arial" w:eastAsia="Arial" w:hAnsi="Arial" w:cs="Arial"/>
          <w:color w:val="222222"/>
          <w:highlight w:val="white"/>
        </w:rPr>
        <w:t>Dufranc</w:t>
      </w:r>
      <w:proofErr w:type="spellEnd"/>
      <w:r>
        <w:rPr>
          <w:rFonts w:ascii="Arial" w:eastAsia="Arial" w:hAnsi="Arial" w:cs="Arial"/>
          <w:color w:val="222222"/>
          <w:highlight w:val="white"/>
        </w:rPr>
        <w:t>, I. M. (2016). Las ciencias naturales para alumnos con discapacidad intelectual: “Aprendemos de nuestro entorno”.</w:t>
      </w:r>
      <w:r>
        <w:rPr>
          <w:rFonts w:ascii="Arial" w:eastAsia="Arial" w:hAnsi="Arial" w:cs="Arial"/>
          <w:color w:val="222222"/>
        </w:rPr>
        <w:t xml:space="preserve"> </w:t>
      </w:r>
      <w:hyperlink r:id="rId14">
        <w:r>
          <w:rPr>
            <w:rFonts w:ascii="Arial" w:eastAsia="Arial" w:hAnsi="Arial" w:cs="Arial"/>
            <w:color w:val="222222"/>
            <w:highlight w:val="white"/>
          </w:rPr>
          <w:t>https://core.ac.uk/reader/132575392</w:t>
        </w:r>
      </w:hyperlink>
      <w:r>
        <w:rPr>
          <w:rFonts w:ascii="Arial" w:eastAsia="Arial" w:hAnsi="Arial" w:cs="Arial"/>
          <w:color w:val="222222"/>
          <w:highlight w:val="white"/>
        </w:rPr>
        <w:t xml:space="preserve"> (sobre inclusión).</w:t>
      </w:r>
    </w:p>
    <w:p w:rsidR="00C379E4" w:rsidRDefault="00C379E4">
      <w:pPr>
        <w:widowControl/>
        <w:rPr>
          <w:rFonts w:ascii="Arial" w:eastAsia="Arial" w:hAnsi="Arial" w:cs="Arial"/>
          <w:color w:val="000000"/>
        </w:rPr>
      </w:pPr>
    </w:p>
    <w:p w:rsidR="00C379E4" w:rsidRDefault="009370E0">
      <w:pPr>
        <w:pStyle w:val="Ttulo1"/>
        <w:spacing w:before="140"/>
        <w:ind w:left="0"/>
      </w:pPr>
      <w:r>
        <w:t>Presupuesto de tiempo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bCs/>
          <w:color w:val="000000"/>
          <w:sz w:val="21"/>
          <w:szCs w:val="21"/>
        </w:rPr>
      </w:pPr>
    </w:p>
    <w:tbl>
      <w:tblPr>
        <w:tblStyle w:val="a"/>
        <w:tblW w:w="4860" w:type="dxa"/>
        <w:tblInd w:w="15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883"/>
      </w:tblGrid>
      <w:tr w:rsidR="00C379E4">
        <w:trPr>
          <w:trHeight w:val="253"/>
        </w:trPr>
        <w:tc>
          <w:tcPr>
            <w:tcW w:w="2977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Unidades</w:t>
            </w:r>
          </w:p>
        </w:tc>
        <w:tc>
          <w:tcPr>
            <w:tcW w:w="1883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Cuatrimestres</w:t>
            </w:r>
          </w:p>
        </w:tc>
      </w:tr>
      <w:tr w:rsidR="00C379E4">
        <w:trPr>
          <w:trHeight w:val="253"/>
        </w:trPr>
        <w:tc>
          <w:tcPr>
            <w:tcW w:w="2977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 y 2 (80%)</w:t>
            </w:r>
          </w:p>
        </w:tc>
        <w:tc>
          <w:tcPr>
            <w:tcW w:w="1883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left="10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1ero</w:t>
            </w:r>
          </w:p>
        </w:tc>
      </w:tr>
      <w:tr w:rsidR="00C379E4">
        <w:trPr>
          <w:trHeight w:val="253"/>
        </w:trPr>
        <w:tc>
          <w:tcPr>
            <w:tcW w:w="2977" w:type="dxa"/>
          </w:tcPr>
          <w:p w:rsidR="00C379E4" w:rsidRDefault="00C37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883" w:type="dxa"/>
          </w:tcPr>
          <w:p w:rsidR="00C379E4" w:rsidRDefault="00C379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</w:tr>
      <w:tr w:rsidR="00C379E4">
        <w:trPr>
          <w:trHeight w:val="249"/>
        </w:trPr>
        <w:tc>
          <w:tcPr>
            <w:tcW w:w="2977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 (20%) y 3</w:t>
            </w:r>
          </w:p>
        </w:tc>
        <w:tc>
          <w:tcPr>
            <w:tcW w:w="1883" w:type="dxa"/>
          </w:tcPr>
          <w:p w:rsidR="00C379E4" w:rsidRDefault="009370E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05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2do</w:t>
            </w:r>
          </w:p>
        </w:tc>
      </w:tr>
    </w:tbl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C379E4" w:rsidRDefault="009370E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Evaluación</w:t>
      </w:r>
    </w:p>
    <w:p w:rsidR="00C379E4" w:rsidRDefault="00C379E4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color w:val="000000"/>
          <w:sz w:val="20"/>
          <w:szCs w:val="2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Criterios de evaluación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 considerará cómo relevante para la evaluación: </w:t>
      </w:r>
    </w:p>
    <w:p w:rsidR="00C379E4" w:rsidRDefault="009370E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Dominio de saberes estudiados y sus vinculaciones conceptuales. </w:t>
      </w:r>
    </w:p>
    <w:p w:rsidR="00C379E4" w:rsidRDefault="009370E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50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Expresión oral y escrita acorde al nivel incluyendo vocabulario específico.</w:t>
      </w:r>
    </w:p>
    <w:p w:rsidR="00C379E4" w:rsidRDefault="009370E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Participación y entrega en tiempo y forma de todas las actividades.</w:t>
      </w:r>
    </w:p>
    <w:p w:rsidR="00C379E4" w:rsidRDefault="009370E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hanging="3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Valoración de la tarea docente. 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Los estudiantes deberán cumplir con la asistencia, participar en clase compartiendo las lecturas obligatorias, resolviendo correctamente las actividades obligatorias y aprobando las instancias parciales de cada cuatrimestre. 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b/>
          <w:bCs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>Condiciones para la promoción de la materia: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 deberá cumplir con el 60% de asistencia en ambos cuatrimestres, aprobar el parcial del primer cuatrimestre y el </w:t>
      </w:r>
      <w:r>
        <w:t>TP1</w:t>
      </w:r>
      <w:r>
        <w:rPr>
          <w:rFonts w:ascii="Arial" w:eastAsia="Arial" w:hAnsi="Arial" w:cs="Arial"/>
          <w:color w:val="000000"/>
        </w:rPr>
        <w:t xml:space="preserve"> (pareja pedagógica) con 7 o mayor a la misma.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El segundo cuatrimestre deberá aprobar el TP 2 (individual) y el TP 4 (individual) y el </w:t>
      </w:r>
      <w:r>
        <w:t>TP3</w:t>
      </w:r>
      <w:r>
        <w:rPr>
          <w:rFonts w:ascii="Arial" w:eastAsia="Arial" w:hAnsi="Arial" w:cs="Arial"/>
          <w:color w:val="000000"/>
        </w:rPr>
        <w:t xml:space="preserve"> (pareja pedagógica) también con nota de 7 o mayor. En el segundo cuatrimestre no se tomará parcial teórico.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Ambos cuatrimestres no se promedian y todos los contenidos evaluados tendrán su correspondiente instancia de recuperación. 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000000"/>
          <w:u w:val="single"/>
        </w:rPr>
      </w:pPr>
      <w:r>
        <w:rPr>
          <w:rFonts w:ascii="Arial" w:eastAsia="Arial" w:hAnsi="Arial" w:cs="Arial"/>
          <w:b/>
          <w:bCs/>
          <w:color w:val="000000"/>
          <w:u w:val="single"/>
        </w:rPr>
        <w:t xml:space="preserve">Condiciones para la aprobación de la cursada a examen final: 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b/>
          <w:bCs/>
          <w:color w:val="000000"/>
          <w:u w:val="single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Se deberá cumplir con el 60% de asistencia en ambos cuatrimestres, aprobar el parcial del primer cuatrimestre y el </w:t>
      </w:r>
      <w:r>
        <w:t>TP1</w:t>
      </w:r>
      <w:r>
        <w:rPr>
          <w:rFonts w:ascii="Arial" w:eastAsia="Arial" w:hAnsi="Arial" w:cs="Arial"/>
          <w:color w:val="000000"/>
        </w:rPr>
        <w:t xml:space="preserve"> (pareja pedagógica) con nota mínima 4.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El segundo cuatrimestre deberá aprobar el TP 2 (individual) y el TP 4 (individual) y el </w:t>
      </w:r>
      <w:r>
        <w:t>TP4</w:t>
      </w:r>
      <w:r>
        <w:rPr>
          <w:rFonts w:ascii="Arial" w:eastAsia="Arial" w:hAnsi="Arial" w:cs="Arial"/>
          <w:color w:val="000000"/>
        </w:rPr>
        <w:t xml:space="preserve"> (pareja pedagógica) también con nota mínima de 4. En el segundo cuatrimestre no se tomará parcial teórico.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  <w:bookmarkStart w:id="0" w:name="_heading=h.30j0zll" w:colFirst="0" w:colLast="0"/>
      <w:bookmarkEnd w:id="0"/>
      <w:r>
        <w:rPr>
          <w:rFonts w:ascii="Arial" w:eastAsia="Arial" w:hAnsi="Arial" w:cs="Arial"/>
          <w:color w:val="000000"/>
        </w:rPr>
        <w:t xml:space="preserve">Ambos cuatrimestres no se promedian y todos los contenidos evaluados tendrán su correspondiente instancia de recuperación. </w:t>
      </w:r>
    </w:p>
    <w:p w:rsidR="00C379E4" w:rsidRDefault="00C379E4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ind w:left="142"/>
        <w:jc w:val="both"/>
        <w:rPr>
          <w:rFonts w:ascii="Arial" w:eastAsia="Arial" w:hAnsi="Arial" w:cs="Arial"/>
          <w:color w:val="000000"/>
        </w:rPr>
      </w:pP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Condiciones para la acreditación de la materia: 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Aprobará la materia todo estudiante regular que ante mesa de examen final demuestre manejo teórico, amplias vinculaciones conceptuales, se exprese empleando vocabulario adecuado y evidencie compromiso con la tarea docente. Se requiere para aprobación que la nota sea igual o mayor a 4 (cuatro). </w:t>
      </w:r>
    </w:p>
    <w:p w:rsidR="00C379E4" w:rsidRDefault="009370E0">
      <w:pPr>
        <w:widowControl/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Los estudiantes que rindan examen libre, en primer lugar, deberán aprobar un escrito sobre contenidos del programa y en caso de aprobación, en segundo lugar, rendirán una instancia oral que termine de abordar la totalidad del programa. Si ambas superan el 4 (cuatro), los estudiantes acreditarán la materia. </w:t>
      </w:r>
    </w:p>
    <w:p w:rsidR="00C379E4" w:rsidRDefault="00C379E4">
      <w:pPr>
        <w:spacing w:line="276" w:lineRule="auto"/>
        <w:ind w:left="142"/>
        <w:jc w:val="right"/>
      </w:pPr>
    </w:p>
    <w:p w:rsidR="00C379E4" w:rsidRDefault="00C379E4">
      <w:pPr>
        <w:spacing w:before="5" w:after="1"/>
        <w:rPr>
          <w:rFonts w:ascii="Times New Roman" w:eastAsia="Times New Roman" w:hAnsi="Times New Roman" w:cs="Times New Roman"/>
          <w:sz w:val="11"/>
          <w:szCs w:val="11"/>
        </w:rPr>
      </w:pPr>
    </w:p>
    <w:tbl>
      <w:tblPr>
        <w:tblStyle w:val="a0"/>
        <w:tblW w:w="8928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34"/>
        <w:gridCol w:w="7994"/>
      </w:tblGrid>
      <w:tr w:rsidR="00C379E4">
        <w:trPr>
          <w:trHeight w:val="364"/>
        </w:trPr>
        <w:tc>
          <w:tcPr>
            <w:tcW w:w="8928" w:type="dxa"/>
            <w:gridSpan w:val="2"/>
            <w:shd w:val="clear" w:color="auto" w:fill="E1EED9"/>
          </w:tcPr>
          <w:p w:rsidR="00C379E4" w:rsidRDefault="009370E0" w:rsidP="0055738E">
            <w:pPr>
              <w:spacing w:line="321" w:lineRule="auto"/>
              <w:ind w:left="9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6FAC46"/>
                <w:sz w:val="28"/>
                <w:szCs w:val="28"/>
              </w:rPr>
              <w:t>AGENDA TENTATIVA DIDÁCTICA DE LAS CIENCIAS   – CICLO 202</w:t>
            </w:r>
            <w:r w:rsidR="0055738E">
              <w:rPr>
                <w:rFonts w:ascii="Calibri" w:eastAsia="Calibri" w:hAnsi="Calibri" w:cs="Calibri"/>
                <w:b/>
                <w:bCs/>
                <w:color w:val="6FAC46"/>
                <w:sz w:val="28"/>
                <w:szCs w:val="28"/>
              </w:rPr>
              <w:t>6</w:t>
            </w:r>
          </w:p>
        </w:tc>
      </w:tr>
      <w:tr w:rsidR="00C379E4">
        <w:trPr>
          <w:trHeight w:val="366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before="2" w:line="321" w:lineRule="auto"/>
              <w:ind w:right="30"/>
              <w:jc w:val="center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color w:val="6FAC46"/>
                <w:sz w:val="28"/>
                <w:szCs w:val="28"/>
              </w:rPr>
              <w:t>Fecha</w:t>
            </w:r>
          </w:p>
        </w:tc>
        <w:tc>
          <w:tcPr>
            <w:tcW w:w="7994" w:type="dxa"/>
            <w:shd w:val="clear" w:color="auto" w:fill="F79646"/>
          </w:tcPr>
          <w:p w:rsidR="00C379E4" w:rsidRDefault="009370E0">
            <w:pPr>
              <w:spacing w:before="2" w:line="321" w:lineRule="auto"/>
              <w:ind w:left="107"/>
              <w:rPr>
                <w:rFonts w:ascii="Calibri" w:eastAsia="Calibri" w:hAnsi="Calibri" w:cs="Calibri"/>
                <w:b/>
                <w:bCs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bCs/>
                <w:sz w:val="28"/>
                <w:szCs w:val="28"/>
              </w:rPr>
              <w:t>Temario/Propuestas de enseñanza</w:t>
            </w: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20-03</w:t>
            </w:r>
          </w:p>
        </w:tc>
        <w:tc>
          <w:tcPr>
            <w:tcW w:w="7994" w:type="dxa"/>
          </w:tcPr>
          <w:p w:rsidR="00C379E4" w:rsidRDefault="009370E0">
            <w:pPr>
              <w:spacing w:line="291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Presentación-Programa-Pautas de trabajo. Naturaleza de las ciencias</w:t>
            </w:r>
          </w:p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Didáctica de las ciencias. Las ciencias como proceso y producto. Furman</w:t>
            </w:r>
          </w:p>
        </w:tc>
      </w:tr>
      <w:tr w:rsidR="00C379E4">
        <w:trPr>
          <w:trHeight w:val="315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5" w:lineRule="auto"/>
              <w:ind w:right="147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27-03</w:t>
            </w:r>
          </w:p>
        </w:tc>
        <w:tc>
          <w:tcPr>
            <w:tcW w:w="7994" w:type="dxa"/>
          </w:tcPr>
          <w:p w:rsidR="00C379E4" w:rsidRDefault="009370E0">
            <w:pPr>
              <w:spacing w:line="275" w:lineRule="auto"/>
              <w:ind w:left="107"/>
              <w:rPr>
                <w:rFonts w:ascii="Arial Narrow" w:eastAsia="Arial Narrow" w:hAnsi="Arial Narrow" w:cs="Arial Narrow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Modelos didácticos  </w:t>
            </w: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03-04</w:t>
            </w:r>
          </w:p>
        </w:tc>
        <w:tc>
          <w:tcPr>
            <w:tcW w:w="7994" w:type="dxa"/>
          </w:tcPr>
          <w:p w:rsidR="00C379E4" w:rsidRDefault="009370E0">
            <w:pPr>
              <w:spacing w:line="275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feriado</w:t>
            </w:r>
          </w:p>
        </w:tc>
      </w:tr>
      <w:tr w:rsidR="00C379E4">
        <w:trPr>
          <w:trHeight w:val="245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10-04</w:t>
            </w:r>
          </w:p>
        </w:tc>
        <w:tc>
          <w:tcPr>
            <w:tcW w:w="7994" w:type="dxa"/>
          </w:tcPr>
          <w:p w:rsidR="00C379E4" w:rsidRDefault="009370E0">
            <w:pPr>
              <w:spacing w:line="275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Análisis de clases simuladas Furman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Cap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 2</w:t>
            </w: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17-04</w:t>
            </w:r>
          </w:p>
        </w:tc>
        <w:tc>
          <w:tcPr>
            <w:tcW w:w="7994" w:type="dxa"/>
          </w:tcPr>
          <w:p w:rsidR="00C379E4" w:rsidRDefault="009370E0">
            <w:pPr>
              <w:spacing w:line="275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Análisis de clases simuladas Furman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Cap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 2</w:t>
            </w:r>
          </w:p>
        </w:tc>
      </w:tr>
      <w:tr w:rsidR="00C379E4">
        <w:trPr>
          <w:trHeight w:val="630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before="2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23-04</w:t>
            </w:r>
          </w:p>
        </w:tc>
        <w:tc>
          <w:tcPr>
            <w:tcW w:w="7994" w:type="dxa"/>
          </w:tcPr>
          <w:p w:rsidR="00C379E4" w:rsidRDefault="009370E0">
            <w:pPr>
              <w:spacing w:line="291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Secuencia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Orugas  PPT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Análisis. Presentación TP 1 en pareja pedagógica por aula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infod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Saberes de los estudiantes y obstáculos.</w:t>
            </w: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07-05</w:t>
            </w:r>
          </w:p>
        </w:tc>
        <w:tc>
          <w:tcPr>
            <w:tcW w:w="7994" w:type="dxa"/>
          </w:tcPr>
          <w:p w:rsidR="00C379E4" w:rsidRDefault="009370E0">
            <w:pPr>
              <w:spacing w:line="275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La enseñanza. Rol docente. Lerner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pág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92 a 113</w:t>
            </w: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14-05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Taller y consulta </w:t>
            </w:r>
          </w:p>
        </w:tc>
      </w:tr>
      <w:tr w:rsidR="00C379E4">
        <w:trPr>
          <w:trHeight w:val="648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21-05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Entrega TP </w:t>
            </w:r>
            <w:proofErr w:type="gram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1.Diseño</w:t>
            </w:r>
            <w:proofErr w:type="gram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curricular de 1ero, lectura y análisis completo</w:t>
            </w:r>
          </w:p>
          <w:p w:rsidR="00C379E4" w:rsidRDefault="00C379E4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28-05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Diseño curricular de 1ero, lectura y análisis completo</w:t>
            </w:r>
          </w:p>
          <w:p w:rsidR="00C379E4" w:rsidRDefault="00C379E4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lastRenderedPageBreak/>
              <w:t>04-06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Espinosa</w:t>
            </w:r>
          </w:p>
        </w:tc>
      </w:tr>
      <w:tr w:rsidR="00C379E4">
        <w:trPr>
          <w:trHeight w:val="315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5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11-06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bookmarkStart w:id="1" w:name="_heading=h.gjdgxs" w:colFirst="0" w:colLast="0"/>
            <w:bookmarkEnd w:id="1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Feldman Programación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pág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49 a 55</w:t>
            </w:r>
          </w:p>
        </w:tc>
      </w:tr>
      <w:tr w:rsidR="00C379E4">
        <w:trPr>
          <w:trHeight w:val="29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18-06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Alfabetización científica y CTS Reflexiones Acevedo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Diaz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>pág</w:t>
            </w:r>
            <w:proofErr w:type="spellEnd"/>
            <w:r>
              <w:rPr>
                <w:rFonts w:ascii="Arial Narrow" w:eastAsia="Arial Narrow" w:hAnsi="Arial Narrow" w:cs="Arial Narrow"/>
                <w:i/>
                <w:iCs/>
                <w:sz w:val="24"/>
                <w:szCs w:val="24"/>
              </w:rPr>
              <w:t xml:space="preserve"> 3 a 16 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Estrategias CTS Marulanda</w:t>
            </w: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25-06</w:t>
            </w:r>
          </w:p>
        </w:tc>
        <w:tc>
          <w:tcPr>
            <w:tcW w:w="7994" w:type="dxa"/>
          </w:tcPr>
          <w:p w:rsidR="00C379E4" w:rsidRDefault="009370E0">
            <w:pPr>
              <w:spacing w:line="272" w:lineRule="auto"/>
              <w:ind w:left="107"/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24"/>
                <w:szCs w:val="24"/>
              </w:rPr>
              <w:t>PARCIAL</w:t>
            </w:r>
          </w:p>
        </w:tc>
      </w:tr>
      <w:tr w:rsidR="00C379E4">
        <w:trPr>
          <w:trHeight w:val="528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02-07</w:t>
            </w:r>
          </w:p>
        </w:tc>
        <w:tc>
          <w:tcPr>
            <w:tcW w:w="7994" w:type="dxa"/>
          </w:tcPr>
          <w:p w:rsidR="00C379E4" w:rsidRDefault="009370E0">
            <w:pPr>
              <w:spacing w:line="276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Devolución </w:t>
            </w:r>
          </w:p>
        </w:tc>
      </w:tr>
      <w:tr w:rsidR="00C379E4">
        <w:trPr>
          <w:trHeight w:val="252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16-07</w:t>
            </w:r>
          </w:p>
        </w:tc>
        <w:tc>
          <w:tcPr>
            <w:tcW w:w="7994" w:type="dxa"/>
          </w:tcPr>
          <w:p w:rsidR="00C379E4" w:rsidRDefault="009370E0">
            <w:pPr>
              <w:ind w:left="107" w:right="108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Presentación de notas</w:t>
            </w: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C379E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994" w:type="dxa"/>
            <w:shd w:val="clear" w:color="auto" w:fill="FDEADA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6FAC46"/>
                <w:sz w:val="24"/>
                <w:szCs w:val="24"/>
              </w:rPr>
              <w:t xml:space="preserve">                                                                     </w:t>
            </w: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Receso</w:t>
            </w: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20-08</w:t>
            </w:r>
          </w:p>
        </w:tc>
        <w:tc>
          <w:tcPr>
            <w:tcW w:w="7994" w:type="dxa"/>
          </w:tcPr>
          <w:p w:rsidR="00C379E4" w:rsidRDefault="009370E0">
            <w:pPr>
              <w:spacing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Colino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pág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53 a 63/93 a 97/99 a 102/ 133 a 144. Presentación T p 2 </w:t>
            </w:r>
            <w:r>
              <w:rPr>
                <w:rFonts w:ascii="Calibri" w:eastAsia="Calibri" w:hAnsi="Calibri" w:cs="Calibri"/>
              </w:rPr>
              <w:t>Intervención de un texto de historia de la ciencia. manuscrito individual.</w:t>
            </w:r>
          </w:p>
        </w:tc>
      </w:tr>
      <w:tr w:rsidR="00C379E4">
        <w:trPr>
          <w:trHeight w:val="33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27-08</w:t>
            </w:r>
          </w:p>
        </w:tc>
        <w:tc>
          <w:tcPr>
            <w:tcW w:w="7994" w:type="dxa"/>
          </w:tcPr>
          <w:p w:rsidR="00C379E4" w:rsidRDefault="009370E0">
            <w:pPr>
              <w:spacing w:line="272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Espinoza Repensar Situaciones de escritura y </w:t>
            </w:r>
            <w:proofErr w:type="spellStart"/>
            <w:r>
              <w:rPr>
                <w:rFonts w:ascii="Calibri" w:eastAsia="Calibri" w:hAnsi="Calibri" w:cs="Calibri"/>
              </w:rPr>
              <w:t>lectura.pág</w:t>
            </w:r>
            <w:proofErr w:type="spellEnd"/>
            <w:r>
              <w:rPr>
                <w:rFonts w:ascii="Calibri" w:eastAsia="Calibri" w:hAnsi="Calibri" w:cs="Calibri"/>
              </w:rPr>
              <w:t xml:space="preserve"> 15 a 34 y Audio</w:t>
            </w:r>
          </w:p>
        </w:tc>
      </w:tr>
      <w:tr w:rsidR="00C379E4">
        <w:trPr>
          <w:trHeight w:val="189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03-09</w:t>
            </w:r>
          </w:p>
        </w:tc>
        <w:tc>
          <w:tcPr>
            <w:tcW w:w="7994" w:type="dxa"/>
          </w:tcPr>
          <w:p w:rsidR="00C379E4" w:rsidRDefault="009370E0">
            <w:pPr>
              <w:spacing w:line="272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Espinoza Repensar Situaciones de escritura y </w:t>
            </w:r>
            <w:proofErr w:type="spellStart"/>
            <w:proofErr w:type="gramStart"/>
            <w:r>
              <w:rPr>
                <w:rFonts w:ascii="Calibri" w:eastAsia="Calibri" w:hAnsi="Calibri" w:cs="Calibri"/>
              </w:rPr>
              <w:t>lectura.pág</w:t>
            </w:r>
            <w:proofErr w:type="spellEnd"/>
            <w:proofErr w:type="gramEnd"/>
            <w:r>
              <w:rPr>
                <w:rFonts w:ascii="Calibri" w:eastAsia="Calibri" w:hAnsi="Calibri" w:cs="Calibri"/>
              </w:rPr>
              <w:t xml:space="preserve"> 15 a 34 y Audio.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Historia de la ciencia y enseñanza Schnek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cap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4 </w:t>
            </w:r>
            <w:proofErr w:type="spellStart"/>
            <w:r>
              <w:rPr>
                <w:rFonts w:ascii="Arial Narrow" w:eastAsia="Arial Narrow" w:hAnsi="Arial Narrow" w:cs="Arial Narrow"/>
                <w:sz w:val="24"/>
                <w:szCs w:val="24"/>
              </w:rPr>
              <w:t>pág</w:t>
            </w:r>
            <w:proofErr w:type="spellEnd"/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 61 a 70</w:t>
            </w:r>
          </w:p>
          <w:p w:rsidR="00C379E4" w:rsidRDefault="00C379E4">
            <w:pPr>
              <w:spacing w:line="272" w:lineRule="auto"/>
              <w:ind w:left="107"/>
              <w:rPr>
                <w:rFonts w:ascii="Calibri" w:eastAsia="Calibri" w:hAnsi="Calibri" w:cs="Calibri"/>
              </w:rPr>
            </w:pPr>
          </w:p>
        </w:tc>
      </w:tr>
      <w:tr w:rsidR="00C379E4">
        <w:trPr>
          <w:trHeight w:val="627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10-09</w:t>
            </w:r>
          </w:p>
        </w:tc>
        <w:tc>
          <w:tcPr>
            <w:tcW w:w="7994" w:type="dxa"/>
          </w:tcPr>
          <w:p w:rsidR="00C379E4" w:rsidRDefault="009370E0">
            <w:pPr>
              <w:spacing w:line="272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Taller</w:t>
            </w:r>
          </w:p>
        </w:tc>
      </w:tr>
      <w:tr w:rsidR="00C379E4">
        <w:trPr>
          <w:trHeight w:val="313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72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17-09</w:t>
            </w:r>
          </w:p>
        </w:tc>
        <w:tc>
          <w:tcPr>
            <w:tcW w:w="7994" w:type="dxa"/>
          </w:tcPr>
          <w:p w:rsidR="00C379E4" w:rsidRDefault="009370E0">
            <w:pPr>
              <w:spacing w:line="276" w:lineRule="auto"/>
              <w:jc w:val="both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</w:rPr>
              <w:t>Entrega  TP</w:t>
            </w:r>
            <w:proofErr w:type="gramEnd"/>
            <w:r>
              <w:rPr>
                <w:rFonts w:ascii="Calibri" w:eastAsia="Calibri" w:hAnsi="Calibri" w:cs="Calibri"/>
              </w:rPr>
              <w:t xml:space="preserve"> 2. </w:t>
            </w:r>
            <w:r>
              <w:rPr>
                <w:rFonts w:ascii="Arial Narrow" w:eastAsia="Arial Narrow" w:hAnsi="Arial Narrow" w:cs="Arial Narrow"/>
                <w:sz w:val="24"/>
                <w:szCs w:val="24"/>
              </w:rPr>
              <w:t>Trabajo experimental, diseños  y protocolos Presentación de TP3</w:t>
            </w:r>
          </w:p>
        </w:tc>
      </w:tr>
      <w:tr w:rsidR="00C379E4">
        <w:trPr>
          <w:trHeight w:val="416"/>
        </w:trPr>
        <w:tc>
          <w:tcPr>
            <w:tcW w:w="934" w:type="dxa"/>
            <w:shd w:val="clear" w:color="auto" w:fill="E1EED9"/>
          </w:tcPr>
          <w:p w:rsidR="00C379E4" w:rsidRDefault="009370E0">
            <w:pPr>
              <w:spacing w:line="291" w:lineRule="auto"/>
              <w:ind w:right="147"/>
              <w:jc w:val="center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24-09</w:t>
            </w:r>
          </w:p>
        </w:tc>
        <w:tc>
          <w:tcPr>
            <w:tcW w:w="7994" w:type="dxa"/>
          </w:tcPr>
          <w:p w:rsidR="00C379E4" w:rsidRDefault="009370E0">
            <w:pPr>
              <w:spacing w:line="291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 xml:space="preserve">Trabajo experimental, diseños  y protocolos   </w:t>
            </w:r>
          </w:p>
        </w:tc>
      </w:tr>
    </w:tbl>
    <w:p w:rsidR="00C379E4" w:rsidRDefault="00C379E4">
      <w:pPr>
        <w:spacing w:line="273" w:lineRule="auto"/>
        <w:rPr>
          <w:rFonts w:ascii="Arial Narrow" w:eastAsia="Arial Narrow" w:hAnsi="Arial Narrow" w:cs="Arial Narrow"/>
          <w:sz w:val="24"/>
          <w:szCs w:val="24"/>
        </w:rPr>
        <w:sectPr w:rsidR="00C379E4">
          <w:headerReference w:type="default" r:id="rId15"/>
          <w:footerReference w:type="default" r:id="rId16"/>
          <w:pgSz w:w="11910" w:h="16840"/>
          <w:pgMar w:top="3120" w:right="995" w:bottom="426" w:left="1300" w:header="705" w:footer="485" w:gutter="0"/>
          <w:pgNumType w:start="1"/>
          <w:cols w:space="720"/>
        </w:sectPr>
      </w:pPr>
    </w:p>
    <w:p w:rsidR="00C379E4" w:rsidRDefault="00C379E4">
      <w:pPr>
        <w:spacing w:line="276" w:lineRule="auto"/>
        <w:rPr>
          <w:rFonts w:ascii="Arial Narrow" w:eastAsia="Arial Narrow" w:hAnsi="Arial Narrow" w:cs="Arial Narrow"/>
          <w:sz w:val="24"/>
          <w:szCs w:val="24"/>
        </w:rPr>
      </w:pPr>
    </w:p>
    <w:tbl>
      <w:tblPr>
        <w:tblStyle w:val="a1"/>
        <w:tblW w:w="89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7938"/>
      </w:tblGrid>
      <w:tr w:rsidR="00C379E4">
        <w:trPr>
          <w:trHeight w:val="295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before="2"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01-10</w:t>
            </w:r>
          </w:p>
        </w:tc>
        <w:tc>
          <w:tcPr>
            <w:tcW w:w="7938" w:type="dxa"/>
          </w:tcPr>
          <w:p w:rsidR="00C379E4" w:rsidRDefault="009370E0">
            <w:pPr>
              <w:spacing w:before="2" w:line="273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Taller</w:t>
            </w:r>
          </w:p>
        </w:tc>
      </w:tr>
      <w:tr w:rsidR="00C379E4">
        <w:trPr>
          <w:trHeight w:val="263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line="272" w:lineRule="auto"/>
              <w:ind w:left="107"/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08-10</w:t>
            </w:r>
          </w:p>
        </w:tc>
        <w:tc>
          <w:tcPr>
            <w:tcW w:w="7938" w:type="dxa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Entrega TP 3. Modelización y analogías Nuestra escuela   Presentación   TP4 Modelos y analogías</w:t>
            </w:r>
          </w:p>
        </w:tc>
      </w:tr>
      <w:tr w:rsidR="00C379E4">
        <w:trPr>
          <w:trHeight w:val="285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line="291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15-10</w:t>
            </w:r>
          </w:p>
        </w:tc>
        <w:tc>
          <w:tcPr>
            <w:tcW w:w="7938" w:type="dxa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Taller</w:t>
            </w:r>
          </w:p>
        </w:tc>
      </w:tr>
      <w:tr w:rsidR="00C379E4">
        <w:trPr>
          <w:trHeight w:val="428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22-10</w:t>
            </w:r>
          </w:p>
        </w:tc>
        <w:tc>
          <w:tcPr>
            <w:tcW w:w="7938" w:type="dxa"/>
          </w:tcPr>
          <w:p w:rsidR="00C379E4" w:rsidRDefault="009370E0">
            <w:pPr>
              <w:spacing w:line="273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Entrega TP 4</w:t>
            </w:r>
          </w:p>
        </w:tc>
      </w:tr>
      <w:tr w:rsidR="00C379E4">
        <w:trPr>
          <w:trHeight w:val="251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before="1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29-10</w:t>
            </w:r>
          </w:p>
        </w:tc>
        <w:tc>
          <w:tcPr>
            <w:tcW w:w="7938" w:type="dxa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Devolución</w:t>
            </w:r>
          </w:p>
        </w:tc>
      </w:tr>
      <w:tr w:rsidR="00C379E4">
        <w:trPr>
          <w:trHeight w:val="292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05-11</w:t>
            </w:r>
          </w:p>
        </w:tc>
        <w:tc>
          <w:tcPr>
            <w:tcW w:w="7938" w:type="dxa"/>
          </w:tcPr>
          <w:p w:rsidR="00C379E4" w:rsidRDefault="009370E0">
            <w:pPr>
              <w:spacing w:line="273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Recuperatorios</w:t>
            </w:r>
          </w:p>
        </w:tc>
      </w:tr>
      <w:tr w:rsidR="00C379E4">
        <w:trPr>
          <w:trHeight w:val="292"/>
        </w:trPr>
        <w:tc>
          <w:tcPr>
            <w:tcW w:w="993" w:type="dxa"/>
            <w:shd w:val="clear" w:color="auto" w:fill="E1EED9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12-11</w:t>
            </w:r>
          </w:p>
        </w:tc>
        <w:tc>
          <w:tcPr>
            <w:tcW w:w="7938" w:type="dxa"/>
          </w:tcPr>
          <w:p w:rsidR="00C379E4" w:rsidRDefault="009370E0">
            <w:pPr>
              <w:spacing w:line="272" w:lineRule="auto"/>
              <w:ind w:left="107"/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6FAC46"/>
                <w:sz w:val="24"/>
                <w:szCs w:val="24"/>
              </w:rPr>
              <w:t>Cierre de notas Recuperación</w:t>
            </w:r>
          </w:p>
        </w:tc>
      </w:tr>
      <w:tr w:rsidR="00C379E4">
        <w:trPr>
          <w:trHeight w:val="294"/>
        </w:trPr>
        <w:tc>
          <w:tcPr>
            <w:tcW w:w="993" w:type="dxa"/>
            <w:shd w:val="clear" w:color="auto" w:fill="E1EED9"/>
          </w:tcPr>
          <w:p w:rsidR="00C379E4" w:rsidRDefault="00C379E4">
            <w:pPr>
              <w:spacing w:line="275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  <w:tc>
          <w:tcPr>
            <w:tcW w:w="7938" w:type="dxa"/>
          </w:tcPr>
          <w:p w:rsidR="00C379E4" w:rsidRDefault="00C379E4">
            <w:pPr>
              <w:spacing w:line="275" w:lineRule="auto"/>
              <w:ind w:left="10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C379E4" w:rsidRDefault="00C379E4">
      <w:pPr>
        <w:spacing w:before="219"/>
        <w:rPr>
          <w:rFonts w:ascii="Times New Roman" w:eastAsia="Times New Roman" w:hAnsi="Times New Roman" w:cs="Times New Roman"/>
          <w:sz w:val="28"/>
          <w:szCs w:val="28"/>
        </w:rPr>
      </w:pPr>
    </w:p>
    <w:p w:rsidR="00C379E4" w:rsidRDefault="00C379E4">
      <w:pPr>
        <w:spacing w:line="276" w:lineRule="auto"/>
        <w:ind w:left="142"/>
        <w:jc w:val="right"/>
        <w:sectPr w:rsidR="00C379E4">
          <w:type w:val="continuous"/>
          <w:pgSz w:w="11910" w:h="16840"/>
          <w:pgMar w:top="1400" w:right="1440" w:bottom="280" w:left="1300" w:header="727" w:footer="0" w:gutter="0"/>
          <w:cols w:space="720"/>
        </w:sectPr>
      </w:pPr>
    </w:p>
    <w:p w:rsidR="00C379E4" w:rsidRDefault="00C379E4">
      <w:pPr>
        <w:spacing w:line="276" w:lineRule="auto"/>
        <w:ind w:left="142"/>
        <w:jc w:val="right"/>
      </w:pPr>
    </w:p>
    <w:p w:rsidR="00C379E4" w:rsidRDefault="00C379E4">
      <w:pPr>
        <w:spacing w:line="276" w:lineRule="auto"/>
        <w:ind w:left="142"/>
        <w:jc w:val="right"/>
        <w:rPr>
          <w:rFonts w:ascii="Arial" w:eastAsia="Arial" w:hAnsi="Arial" w:cs="Arial"/>
        </w:rPr>
      </w:pPr>
    </w:p>
    <w:p w:rsidR="00C379E4" w:rsidRDefault="00C379E4">
      <w:pPr>
        <w:spacing w:line="276" w:lineRule="auto"/>
        <w:ind w:left="142"/>
        <w:jc w:val="right"/>
        <w:rPr>
          <w:rFonts w:ascii="Arial" w:eastAsia="Arial" w:hAnsi="Arial" w:cs="Arial"/>
        </w:rPr>
      </w:pPr>
    </w:p>
    <w:p w:rsidR="00C379E4" w:rsidRDefault="00C379E4">
      <w:pPr>
        <w:spacing w:line="276" w:lineRule="auto"/>
        <w:ind w:left="142"/>
        <w:jc w:val="right"/>
        <w:rPr>
          <w:rFonts w:ascii="Arial" w:eastAsia="Arial" w:hAnsi="Arial" w:cs="Arial"/>
        </w:rPr>
      </w:pPr>
    </w:p>
    <w:p w:rsidR="00C379E4" w:rsidRDefault="009370E0">
      <w:pPr>
        <w:spacing w:line="276" w:lineRule="auto"/>
        <w:ind w:left="142"/>
        <w:jc w:val="right"/>
        <w:rPr>
          <w:rFonts w:ascii="Arial" w:eastAsia="Arial" w:hAnsi="Arial" w:cs="Arial"/>
        </w:rPr>
      </w:pPr>
      <w:proofErr w:type="spellStart"/>
      <w:r>
        <w:t>Prof</w:t>
      </w:r>
      <w:proofErr w:type="spellEnd"/>
      <w:r>
        <w:t xml:space="preserve"> </w:t>
      </w:r>
      <w:r>
        <w:rPr>
          <w:rFonts w:ascii="Arial" w:eastAsia="Arial" w:hAnsi="Arial" w:cs="Arial"/>
        </w:rPr>
        <w:t xml:space="preserve">Lic. Adriana Ban </w:t>
      </w:r>
    </w:p>
    <w:p w:rsidR="00C379E4" w:rsidRDefault="00C379E4">
      <w:pPr>
        <w:spacing w:line="276" w:lineRule="auto"/>
        <w:ind w:left="142"/>
        <w:jc w:val="right"/>
        <w:rPr>
          <w:rFonts w:ascii="Arial" w:eastAsia="Arial" w:hAnsi="Arial" w:cs="Arial"/>
        </w:rPr>
      </w:pPr>
    </w:p>
    <w:p w:rsidR="00C379E4" w:rsidRDefault="009370E0">
      <w:pPr>
        <w:spacing w:line="276" w:lineRule="auto"/>
        <w:ind w:left="142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Marzo 202</w:t>
      </w:r>
      <w:r w:rsidR="00FC7224">
        <w:rPr>
          <w:rFonts w:ascii="Arial" w:eastAsia="Arial" w:hAnsi="Arial" w:cs="Arial"/>
        </w:rPr>
        <w:t>6</w:t>
      </w:r>
      <w:bookmarkStart w:id="2" w:name="_GoBack"/>
      <w:bookmarkEnd w:id="2"/>
    </w:p>
    <w:sectPr w:rsidR="00C379E4">
      <w:type w:val="continuous"/>
      <w:pgSz w:w="11910" w:h="16840"/>
      <w:pgMar w:top="3120" w:right="995" w:bottom="426" w:left="1300" w:header="705" w:footer="48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0196" w:rsidRDefault="00600196">
      <w:r>
        <w:separator/>
      </w:r>
    </w:p>
  </w:endnote>
  <w:endnote w:type="continuationSeparator" w:id="0">
    <w:p w:rsidR="00600196" w:rsidRDefault="00600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FB1E3B69-1366-4EFD-B23D-790BC463EBA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51483FA0-0442-4799-8D46-B5F13F2F4C0E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3" w:fontKey="{3565463C-C108-4AE8-96C6-F4004E127886}"/>
    <w:embedBold r:id="rId4" w:fontKey="{067AAAC0-C38A-46F2-94ED-51D9D5ECFCCD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70F272A1-84D0-44CA-9F0C-E45F97F26CC4}"/>
    <w:embedBold r:id="rId6" w:fontKey="{5F6D52C5-AA04-4E07-A4FA-49C9EDE8FECD}"/>
    <w:embedItalic r:id="rId7" w:fontKey="{8B69AB9D-101F-486F-8E5D-D8DB7395C90F}"/>
    <w:embedBoldItalic r:id="rId8" w:fontKey="{A10DA7BC-A5F8-437C-A33C-3302D60A47DF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9" w:fontKey="{27CD2A0D-0051-4EDE-9F91-0C9CF0F0D0E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E4" w:rsidRDefault="009370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fldChar w:fldCharType="begin"/>
    </w:r>
    <w:r>
      <w:rPr>
        <w:rFonts w:ascii="Arial" w:eastAsia="Arial" w:hAnsi="Arial" w:cs="Arial"/>
        <w:color w:val="000000"/>
      </w:rPr>
      <w:instrText>PAGE</w:instrText>
    </w:r>
    <w:r>
      <w:rPr>
        <w:rFonts w:ascii="Arial" w:eastAsia="Arial" w:hAnsi="Arial" w:cs="Arial"/>
        <w:color w:val="000000"/>
      </w:rPr>
      <w:fldChar w:fldCharType="separate"/>
    </w:r>
    <w:r w:rsidR="00FC7224">
      <w:rPr>
        <w:rFonts w:ascii="Arial" w:eastAsia="Arial" w:hAnsi="Arial" w:cs="Arial"/>
        <w:noProof/>
        <w:color w:val="000000"/>
      </w:rPr>
      <w:t>7</w:t>
    </w:r>
    <w:r>
      <w:rPr>
        <w:rFonts w:ascii="Arial" w:eastAsia="Arial" w:hAnsi="Arial" w:cs="Arial"/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0196" w:rsidRDefault="00600196">
      <w:r>
        <w:separator/>
      </w:r>
    </w:p>
  </w:footnote>
  <w:footnote w:type="continuationSeparator" w:id="0">
    <w:p w:rsidR="00600196" w:rsidRDefault="006001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79E4" w:rsidRDefault="009370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  <w:lang w:val="en-US"/>
      </w:rPr>
      <mc:AlternateContent>
        <mc:Choice Requires="wpg">
          <w:drawing>
            <wp:anchor distT="0" distB="0" distL="0" distR="0" simplePos="0" relativeHeight="251658240" behindDoc="1" locked="0" layoutInCell="1" hidden="0" allowOverlap="1">
              <wp:simplePos x="0" y="0"/>
              <wp:positionH relativeFrom="page">
                <wp:posOffset>2130108</wp:posOffset>
              </wp:positionH>
              <wp:positionV relativeFrom="page">
                <wp:posOffset>442278</wp:posOffset>
              </wp:positionV>
              <wp:extent cx="3923030" cy="642620"/>
              <wp:effectExtent l="0" t="0" r="0" b="0"/>
              <wp:wrapNone/>
              <wp:docPr id="1682041503" name="Rectángulo 16820415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89248" y="3463453"/>
                        <a:ext cx="3913505" cy="633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79E4" w:rsidRDefault="009370E0">
                          <w:pPr>
                            <w:spacing w:before="6" w:line="241" w:lineRule="auto"/>
                            <w:ind w:left="20" w:right="17" w:firstLine="2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Instituto Superior de Formación Docente y Técnica Nº 46</w:t>
                          </w:r>
                        </w:p>
                        <w:p w:rsidR="00C379E4" w:rsidRDefault="009370E0">
                          <w:pPr>
                            <w:spacing w:line="319" w:lineRule="auto"/>
                            <w:ind w:left="20" w:right="17" w:firstLine="20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8"/>
                            </w:rPr>
                            <w:t>“2 de abril de 1982”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2130108</wp:posOffset>
              </wp:positionH>
              <wp:positionV relativeFrom="page">
                <wp:posOffset>442278</wp:posOffset>
              </wp:positionV>
              <wp:extent cx="3923030" cy="642620"/>
              <wp:effectExtent b="0" l="0" r="0" t="0"/>
              <wp:wrapNone/>
              <wp:docPr id="168204150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923030" cy="64262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rFonts w:ascii="Arial" w:eastAsia="Arial" w:hAnsi="Arial" w:cs="Arial"/>
        <w:noProof/>
        <w:color w:val="000000"/>
        <w:lang w:val="en-US"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page">
                <wp:posOffset>3341053</wp:posOffset>
              </wp:positionH>
              <wp:positionV relativeFrom="page">
                <wp:posOffset>1260158</wp:posOffset>
              </wp:positionV>
              <wp:extent cx="1528445" cy="613410"/>
              <wp:effectExtent l="0" t="0" r="0" b="0"/>
              <wp:wrapNone/>
              <wp:docPr id="1682041504" name="Rectángulo 16820415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86540" y="3478058"/>
                        <a:ext cx="1518920" cy="603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79E4" w:rsidRDefault="009370E0">
                          <w:pPr>
                            <w:spacing w:before="12"/>
                            <w:ind w:left="20" w:right="17" w:hanging="6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 xml:space="preserve">Sede: Av. Pueyrredón 1250 Sub-sede: Medrano 90 Ramos Mejía., La Matanza </w:t>
                          </w:r>
                          <w:proofErr w:type="gramStart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Te:+</w:t>
                          </w:r>
                          <w:proofErr w:type="gramEnd"/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20"/>
                            </w:rPr>
                            <w:t>54 011 4658-6285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3341053</wp:posOffset>
              </wp:positionH>
              <wp:positionV relativeFrom="page">
                <wp:posOffset>1260158</wp:posOffset>
              </wp:positionV>
              <wp:extent cx="1528445" cy="613410"/>
              <wp:effectExtent b="0" l="0" r="0" t="0"/>
              <wp:wrapNone/>
              <wp:docPr id="1682041504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28445" cy="6134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n-US"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337935</wp:posOffset>
          </wp:positionH>
          <wp:positionV relativeFrom="paragraph">
            <wp:posOffset>-13680</wp:posOffset>
          </wp:positionV>
          <wp:extent cx="853440" cy="865505"/>
          <wp:effectExtent l="0" t="0" r="0" b="0"/>
          <wp:wrapSquare wrapText="bothSides" distT="0" distB="0" distL="114300" distR="114300"/>
          <wp:docPr id="1682041507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440" cy="8655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379E4" w:rsidRDefault="009370E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noProof/>
        <w:color w:val="000000"/>
        <w:lang w:val="en-US"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page">
                <wp:posOffset>820738</wp:posOffset>
              </wp:positionH>
              <wp:positionV relativeFrom="page">
                <wp:posOffset>1307783</wp:posOffset>
              </wp:positionV>
              <wp:extent cx="1506855" cy="497840"/>
              <wp:effectExtent l="0" t="0" r="0" b="0"/>
              <wp:wrapNone/>
              <wp:docPr id="1682041506" name="Rectángulo 16820415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97335" y="3535843"/>
                        <a:ext cx="1497330" cy="488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C379E4" w:rsidRDefault="009370E0">
                          <w:pPr>
                            <w:spacing w:before="11"/>
                            <w:ind w:left="20" w:right="17" w:firstLine="12"/>
                            <w:jc w:val="center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b/>
                              <w:color w:val="000000"/>
                              <w:sz w:val="16"/>
                            </w:rPr>
                            <w:t>Provincia de Buenos Aires Dirección de Cultura y Educación Dirección de Educación Superior Docente Inicial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820738</wp:posOffset>
              </wp:positionH>
              <wp:positionV relativeFrom="page">
                <wp:posOffset>1307783</wp:posOffset>
              </wp:positionV>
              <wp:extent cx="1506855" cy="497840"/>
              <wp:effectExtent b="0" l="0" r="0" t="0"/>
              <wp:wrapNone/>
              <wp:docPr id="1682041506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506855" cy="497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>
              <wp:simplePos x="0" y="0"/>
              <wp:positionH relativeFrom="column">
                <wp:posOffset>1</wp:posOffset>
              </wp:positionH>
              <wp:positionV relativeFrom="paragraph">
                <wp:posOffset>1270000</wp:posOffset>
              </wp:positionV>
              <wp:extent cx="6096289" cy="28402"/>
              <wp:effectExtent l="0" t="0" r="0" b="0"/>
              <wp:wrapNone/>
              <wp:docPr id="1682041505" name="Conector recto de flecha 16820415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302618" y="3770562"/>
                        <a:ext cx="6086764" cy="18877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1270000</wp:posOffset>
              </wp:positionV>
              <wp:extent cx="6096289" cy="28402"/>
              <wp:effectExtent b="0" l="0" r="0" t="0"/>
              <wp:wrapNone/>
              <wp:docPr id="168204150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289" cy="2840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705CD"/>
    <w:multiLevelType w:val="multilevel"/>
    <w:tmpl w:val="5970A19E"/>
    <w:lvl w:ilvl="0">
      <w:start w:val="1"/>
      <w:numFmt w:val="bullet"/>
      <w:lvlText w:val="●"/>
      <w:lvlJc w:val="left"/>
      <w:pPr>
        <w:ind w:left="759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7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9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1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3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5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7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9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19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B52DFA"/>
    <w:multiLevelType w:val="multilevel"/>
    <w:tmpl w:val="0204CD26"/>
    <w:lvl w:ilvl="0"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6EDA5D93"/>
    <w:multiLevelType w:val="multilevel"/>
    <w:tmpl w:val="525614C8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9E4"/>
    <w:rsid w:val="0055738E"/>
    <w:rsid w:val="00600196"/>
    <w:rsid w:val="009370E0"/>
    <w:rsid w:val="00C379E4"/>
    <w:rsid w:val="00FC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EC957"/>
  <w15:docId w15:val="{2A83831D-1CE4-4A13-BFD0-34F5B871C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Ttulo1">
    <w:name w:val="heading 1"/>
    <w:basedOn w:val="Normal"/>
    <w:link w:val="Ttulo1Car"/>
    <w:uiPriority w:val="9"/>
    <w:qFormat/>
    <w:pPr>
      <w:ind w:left="399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uiPriority w:val="10"/>
    <w:qFormat/>
    <w:pPr>
      <w:ind w:left="20" w:right="18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</w:style>
  <w:style w:type="paragraph" w:styleId="Prrafodelista">
    <w:name w:val="List Paragraph"/>
    <w:basedOn w:val="Normal"/>
    <w:uiPriority w:val="1"/>
    <w:qFormat/>
    <w:pPr>
      <w:spacing w:before="124"/>
      <w:ind w:left="760" w:hanging="361"/>
    </w:pPr>
  </w:style>
  <w:style w:type="paragraph" w:customStyle="1" w:styleId="TableParagraph">
    <w:name w:val="Table Paragraph"/>
    <w:basedOn w:val="Normal"/>
    <w:uiPriority w:val="1"/>
    <w:qFormat/>
    <w:pPr>
      <w:spacing w:line="234" w:lineRule="exact"/>
      <w:ind w:left="105"/>
    </w:pPr>
  </w:style>
  <w:style w:type="character" w:styleId="Hipervnculo">
    <w:name w:val="Hyperlink"/>
    <w:basedOn w:val="Fuentedeprrafopredeter"/>
    <w:uiPriority w:val="99"/>
    <w:unhideWhenUsed/>
    <w:rsid w:val="0044378B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44378B"/>
    <w:rPr>
      <w:color w:val="605E5C"/>
      <w:shd w:val="clear" w:color="auto" w:fill="E1DFDD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88795A"/>
    <w:rPr>
      <w:rFonts w:ascii="Arial MT" w:eastAsia="Arial MT" w:hAnsi="Arial MT" w:cs="Arial MT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CE258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E2582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CE258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E2582"/>
    <w:rPr>
      <w:rFonts w:ascii="Arial MT" w:eastAsia="Arial MT" w:hAnsi="Arial MT" w:cs="Arial MT"/>
      <w:lang w:val="es-ES"/>
    </w:rPr>
  </w:style>
  <w:style w:type="character" w:customStyle="1" w:styleId="Ttulo1Car">
    <w:name w:val="Título 1 Car"/>
    <w:basedOn w:val="Fuentedeprrafopredeter"/>
    <w:link w:val="Ttulo1"/>
    <w:uiPriority w:val="9"/>
    <w:rsid w:val="003E0CB8"/>
    <w:rPr>
      <w:rFonts w:ascii="Arial" w:eastAsia="Arial" w:hAnsi="Arial" w:cs="Arial"/>
      <w:b/>
      <w:bCs/>
      <w:lang w:val="es-ES"/>
    </w:rPr>
  </w:style>
  <w:style w:type="paragraph" w:customStyle="1" w:styleId="Default">
    <w:name w:val="Default"/>
    <w:rsid w:val="00095C48"/>
    <w:pPr>
      <w:widowControl/>
      <w:adjustRightInd w:val="0"/>
    </w:pPr>
    <w:rPr>
      <w:rFonts w:ascii="Symbol" w:hAnsi="Symbol" w:cs="Symbol"/>
      <w:color w:val="000000"/>
      <w:sz w:val="24"/>
      <w:szCs w:val="24"/>
      <w:lang w:val="es-AR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C1DB2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ademia.edu/40505877/Didactica_de_las_ciencias_en_la_Educacion_Secundaria_Obligatoria_Neus_Sanmarti_pdf" TargetMode="External"/><Relationship Id="rId13" Type="http://schemas.openxmlformats.org/officeDocument/2006/relationships/hyperlink" Target="https://analesdequimica.es/index.php/AnalesQuimica/article/view/100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dalyc.org/pdf/920/92013011003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ei.es/salactsi/uvalle/gdd_capitulo4.htm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redalyc.org/articulo.oa?id=920101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bliotecavirtual.unl.edu.ar:8443/bitstream/handle/11185/6708/conversacionesEnse%C3%B1anza_AA.pdf?sequence=1&amp;isAllowed=y" TargetMode="External"/><Relationship Id="rId14" Type="http://schemas.openxmlformats.org/officeDocument/2006/relationships/hyperlink" Target="https://core.ac.uk/reader/132575392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oEeiI/RWfvOYEIb/cB8B0mtKIQ==">CgMxLjAyCGguZ2pkZ3hzMgloLjMwajB6bGwyCGguZ2pkZ3hzOAByITFMMnFpemVPdy1QZ2xGb0gwbUtUXzNDWHZmZGI1a2Nseg==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2412</Words>
  <Characters>13752</Characters>
  <Application>Microsoft Office Word</Application>
  <DocSecurity>0</DocSecurity>
  <Lines>114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Adriana Ban</cp:lastModifiedBy>
  <cp:revision>4</cp:revision>
  <dcterms:created xsi:type="dcterms:W3CDTF">2024-02-23T17:57:00Z</dcterms:created>
  <dcterms:modified xsi:type="dcterms:W3CDTF">2026-03-03T18:34:00Z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2022-04-06T00:00:00Z</vt:filetime>
  </property>
</Properties>
</file>