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Baskerville" w:cs="Libre Baskerville" w:eastAsia="Libre Baskerville" w:hAnsi="Libre Baskerville"/>
          <w:b w:val="0"/>
          <w:i w:val="0"/>
          <w:smallCaps w:val="0"/>
          <w:strike w:val="0"/>
          <w:color w:val="000000"/>
          <w:sz w:val="36"/>
          <w:szCs w:val="36"/>
          <w:u w:val="none"/>
          <w:shd w:fill="auto" w:val="clear"/>
          <w:vertAlign w:val="baseline"/>
        </w:rPr>
      </w:pPr>
      <w:r w:rsidDel="00000000" w:rsidR="00000000" w:rsidRPr="00000000">
        <w:rPr>
          <w:rFonts w:ascii="Libre Baskerville" w:cs="Libre Baskerville" w:eastAsia="Libre Baskerville" w:hAnsi="Libre Baskerville"/>
          <w:b w:val="1"/>
          <w:i w:val="0"/>
          <w:smallCaps w:val="0"/>
          <w:strike w:val="0"/>
          <w:color w:val="000000"/>
          <w:sz w:val="36"/>
          <w:szCs w:val="36"/>
          <w:u w:val="none"/>
          <w:shd w:fill="auto" w:val="clear"/>
          <w:vertAlign w:val="baseline"/>
          <w:rtl w:val="0"/>
        </w:rPr>
        <w:t xml:space="preserve">INSTITUTO SUPERIOR DE FORMACIÓN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Baskerville" w:cs="Libre Baskerville" w:eastAsia="Libre Baskerville" w:hAnsi="Libre Baskerville"/>
          <w:b w:val="0"/>
          <w:i w:val="0"/>
          <w:smallCaps w:val="0"/>
          <w:strike w:val="0"/>
          <w:color w:val="000000"/>
          <w:sz w:val="36"/>
          <w:szCs w:val="36"/>
          <w:u w:val="none"/>
          <w:shd w:fill="auto" w:val="clear"/>
          <w:vertAlign w:val="baseline"/>
        </w:rPr>
      </w:pPr>
      <w:r w:rsidDel="00000000" w:rsidR="00000000" w:rsidRPr="00000000">
        <w:rPr>
          <w:rFonts w:ascii="Libre Baskerville" w:cs="Libre Baskerville" w:eastAsia="Libre Baskerville" w:hAnsi="Libre Baskerville"/>
          <w:b w:val="1"/>
          <w:i w:val="0"/>
          <w:smallCaps w:val="0"/>
          <w:strike w:val="0"/>
          <w:color w:val="000000"/>
          <w:sz w:val="36"/>
          <w:szCs w:val="36"/>
          <w:u w:val="none"/>
          <w:shd w:fill="auto" w:val="clear"/>
          <w:vertAlign w:val="baseline"/>
          <w:rtl w:val="0"/>
        </w:rPr>
        <w:t xml:space="preserve">DOCENTE Y TÉCNICA Nº 46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Baskerville" w:cs="Libre Baskerville" w:eastAsia="Libre Baskerville" w:hAnsi="Libre Baskerville"/>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Baskerville" w:cs="Libre Baskerville" w:eastAsia="Libre Baskerville" w:hAnsi="Libre Baskerville"/>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spacing w:line="240" w:lineRule="auto"/>
        <w:jc w:val="center"/>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TECNICATURA EN TURISMO</w:t>
      </w:r>
      <w:r w:rsidDel="00000000" w:rsidR="00000000" w:rsidRPr="00000000">
        <w:rPr>
          <w:rtl w:val="0"/>
        </w:rPr>
      </w:r>
    </w:p>
    <w:p w:rsidR="00000000" w:rsidDel="00000000" w:rsidP="00000000" w:rsidRDefault="00000000" w:rsidRPr="00000000" w14:paraId="00000008">
      <w:pPr>
        <w:spacing w:line="240" w:lineRule="auto"/>
        <w:jc w:val="center"/>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RES. </w:t>
      </w:r>
      <w:r w:rsidDel="00000000" w:rsidR="00000000" w:rsidRPr="00000000">
        <w:rPr>
          <w:rtl w:val="0"/>
        </w:rPr>
      </w:r>
    </w:p>
    <w:p w:rsidR="00000000" w:rsidDel="00000000" w:rsidP="00000000" w:rsidRDefault="00000000" w:rsidRPr="00000000" w14:paraId="00000009">
      <w:pPr>
        <w:spacing w:line="240" w:lineRule="auto"/>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CARRERA</w:t>
      </w:r>
    </w:p>
    <w:p w:rsidR="00000000" w:rsidDel="00000000" w:rsidP="00000000" w:rsidRDefault="00000000" w:rsidRPr="00000000" w14:paraId="0000000A">
      <w:pPr>
        <w:spacing w:line="240" w:lineRule="auto"/>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i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8"/>
          <w:szCs w:val="28"/>
          <w:u w:val="none"/>
          <w:shd w:fill="auto" w:val="clear"/>
          <w:vertAlign w:val="baseline"/>
          <w:rtl w:val="0"/>
        </w:rPr>
        <w:t xml:space="preserve">GESTIÓN DE LAS ORGANIZACIONES TURÍSTICAS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b w:val="1"/>
          <w:i w:val="0"/>
          <w:smallCaps w:val="0"/>
          <w:strike w:val="0"/>
          <w:color w:val="000000"/>
          <w:sz w:val="28"/>
          <w:szCs w:val="28"/>
          <w:u w:val="none"/>
          <w:shd w:fill="auto" w:val="clear"/>
          <w:vertAlign w:val="baseline"/>
        </w:rPr>
      </w:pPr>
      <w:r w:rsidDel="00000000" w:rsidR="00000000" w:rsidRPr="00000000">
        <w:rPr>
          <w:rFonts w:ascii="Arial Rounded" w:cs="Arial Rounded" w:eastAsia="Arial Rounded" w:hAnsi="Arial Rounded"/>
          <w:b w:val="1"/>
          <w:i w:val="0"/>
          <w:smallCaps w:val="0"/>
          <w:strike w:val="0"/>
          <w:color w:val="000000"/>
          <w:sz w:val="28"/>
          <w:szCs w:val="28"/>
          <w:u w:val="none"/>
          <w:shd w:fill="auto" w:val="clear"/>
          <w:vertAlign w:val="baseline"/>
          <w:rtl w:val="0"/>
        </w:rPr>
        <w:t xml:space="preserve">UNIDAD CURRICULAR</w:t>
      </w:r>
    </w:p>
    <w:p w:rsidR="00000000" w:rsidDel="00000000" w:rsidP="00000000" w:rsidRDefault="00000000" w:rsidRPr="00000000" w14:paraId="0000000D">
      <w:pPr>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PROYECTO ANUAL</w:t>
      </w:r>
    </w:p>
    <w:p w:rsidR="00000000" w:rsidDel="00000000" w:rsidP="00000000" w:rsidRDefault="00000000" w:rsidRPr="00000000" w14:paraId="0000000E">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PROF. JOSÉ IGNACIO GONZÁLEZ</w:t>
      </w:r>
      <w:r w:rsidDel="00000000" w:rsidR="00000000" w:rsidRPr="00000000">
        <w:rPr>
          <w:rtl w:val="0"/>
        </w:rPr>
      </w:r>
    </w:p>
    <w:p w:rsidR="00000000" w:rsidDel="00000000" w:rsidP="00000000" w:rsidRDefault="00000000" w:rsidRPr="00000000" w14:paraId="00000011">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DNI: 17015431</w:t>
      </w:r>
      <w:r w:rsidDel="00000000" w:rsidR="00000000" w:rsidRPr="00000000">
        <w:rPr>
          <w:rtl w:val="0"/>
        </w:rPr>
      </w:r>
    </w:p>
    <w:p w:rsidR="00000000" w:rsidDel="00000000" w:rsidP="00000000" w:rsidRDefault="00000000" w:rsidRPr="00000000" w14:paraId="00000012">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TEL. PART.: 011-4457-5120</w:t>
      </w:r>
      <w:r w:rsidDel="00000000" w:rsidR="00000000" w:rsidRPr="00000000">
        <w:rPr>
          <w:rtl w:val="0"/>
        </w:rPr>
      </w:r>
    </w:p>
    <w:p w:rsidR="00000000" w:rsidDel="00000000" w:rsidP="00000000" w:rsidRDefault="00000000" w:rsidRPr="00000000" w14:paraId="00000013">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TEL.CEL:15-5025-5208</w:t>
      </w:r>
      <w:r w:rsidDel="00000000" w:rsidR="00000000" w:rsidRPr="00000000">
        <w:rPr>
          <w:rtl w:val="0"/>
        </w:rPr>
      </w:r>
    </w:p>
    <w:p w:rsidR="00000000" w:rsidDel="00000000" w:rsidP="00000000" w:rsidRDefault="00000000" w:rsidRPr="00000000" w14:paraId="00000014">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6">
      <w:pPr>
        <w:jc w:val="center"/>
        <w:rPr>
          <w:rFonts w:ascii="Arial Black" w:cs="Arial Black" w:eastAsia="Arial Black" w:hAnsi="Arial Black"/>
          <w:b w:val="0"/>
          <w:sz w:val="40"/>
          <w:szCs w:val="40"/>
          <w:vertAlign w:val="baseline"/>
        </w:rPr>
      </w:pPr>
      <w:r w:rsidDel="00000000" w:rsidR="00000000" w:rsidRPr="00000000">
        <w:rPr>
          <w:rFonts w:ascii="Arial Black" w:cs="Arial Black" w:eastAsia="Arial Black" w:hAnsi="Arial Black"/>
          <w:b w:val="1"/>
          <w:sz w:val="40"/>
          <w:szCs w:val="40"/>
          <w:vertAlign w:val="baseline"/>
          <w:rtl w:val="0"/>
        </w:rPr>
        <w:t xml:space="preserve">2024</w:t>
      </w:r>
      <w:r w:rsidDel="00000000" w:rsidR="00000000" w:rsidRPr="00000000">
        <w:rPr>
          <w:rtl w:val="0"/>
        </w:rPr>
      </w:r>
    </w:p>
    <w:p w:rsidR="00000000" w:rsidDel="00000000" w:rsidP="00000000" w:rsidRDefault="00000000" w:rsidRPr="00000000" w14:paraId="00000017">
      <w:pPr>
        <w:jc w:val="center"/>
        <w:rPr>
          <w:rFonts w:ascii="Arial Black" w:cs="Arial Black" w:eastAsia="Arial Black" w:hAnsi="Arial Black"/>
          <w:b w:val="0"/>
          <w:sz w:val="40"/>
          <w:szCs w:val="40"/>
          <w:vertAlign w:val="baseline"/>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Fundamentación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spacing w:after="0" w:line="24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 nuestra región y en especial en nuestro país los distintos ciclos de modernización y transformación económica, política, tecnológica, productiva y social, han impulsado cambios en la sociedad. Es así que el sector de mayor desarrollo económico es el sector de servicios. Haciéndose indispensable la necesidad de formar técnicos superiores en turismo capaces de comprender la complejidad de los sistemas administrativos, interpretar sus variaciones, respetar y aplicar la normativa legal vigente y generar proyectos y propuestas innovadoras que sean sustentables.</w:t>
      </w:r>
    </w:p>
    <w:p w:rsidR="00000000" w:rsidDel="00000000" w:rsidP="00000000" w:rsidRDefault="00000000" w:rsidRPr="00000000" w14:paraId="0000001C">
      <w:pPr>
        <w:spacing w:after="0" w:line="24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Dichos cambios requieren tanto de los individuos como de las organizaciones, flexibilidad, capacidad de innovación para recrear el medio, conocimientos para desarrollar nuevas competencias y aptitudes para implementar metodologías que posibiliten aprender a aprender y aprender a emprender.</w:t>
      </w:r>
    </w:p>
    <w:p w:rsidR="00000000" w:rsidDel="00000000" w:rsidP="00000000" w:rsidRDefault="00000000" w:rsidRPr="00000000" w14:paraId="0000001D">
      <w:pPr>
        <w:spacing w:after="0" w:line="24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El eje vertebrador de la unidad curricular Gestión de las organizaciones turísticas, es la contextualización de los conocimientos adquiridos, y a adquirir durante el año de cursada, a través de actividades que contribuyan a la formación y desarrollo de competencias profesionales. Procurando el desarrollo de herramientas conceptuales, analíticas y prácticas que posibiliten al futuro profesional la compresión y la dimensión de la gestión de las organizaciones, ya que las áreas de competencias para las cuales los habilita su profesión son entre otras las siguientes:</w:t>
      </w:r>
    </w:p>
    <w:p w:rsidR="00000000" w:rsidDel="00000000" w:rsidP="00000000" w:rsidRDefault="00000000" w:rsidRPr="00000000" w14:paraId="0000001E">
      <w:pPr>
        <w:spacing w:after="0" w:line="240" w:lineRule="auto"/>
        <w:ind w:firstLine="709"/>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Diagnosticar diseñar, liderar, gestionar, organizar y emprendimientos turísticos en el ámbito público y privado.</w:t>
      </w:r>
    </w:p>
    <w:p w:rsidR="00000000" w:rsidDel="00000000" w:rsidP="00000000" w:rsidRDefault="00000000" w:rsidRPr="00000000" w14:paraId="00000020">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Dirigir y administrar empresas y emprendimientos turísticos y recreacionales.</w:t>
      </w:r>
    </w:p>
    <w:p w:rsidR="00000000" w:rsidDel="00000000" w:rsidP="00000000" w:rsidRDefault="00000000" w:rsidRPr="00000000" w14:paraId="00000021">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Programar, organizar, coordinar servicios turísticos y recreacionales, nacionales e internacionales.</w:t>
      </w:r>
    </w:p>
    <w:p w:rsidR="00000000" w:rsidDel="00000000" w:rsidP="00000000" w:rsidRDefault="00000000" w:rsidRPr="00000000" w14:paraId="00000022">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Administrar, contratar e intermediar la venta de todo tipo de servicios turísticos o prestaciones de servicios turísticos satisfaciendo las necesidades de la demanda.</w:t>
      </w:r>
    </w:p>
    <w:p w:rsidR="00000000" w:rsidDel="00000000" w:rsidP="00000000" w:rsidRDefault="00000000" w:rsidRPr="00000000" w14:paraId="00000023">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Coordinar servicios turísticos y recreacionales. Elaborar, implantar y operar sistemas de información y de procesos de datos para la prestación de los servicios turísticos atendiendo a los cambios que se van generando.</w:t>
      </w:r>
    </w:p>
    <w:p w:rsidR="00000000" w:rsidDel="00000000" w:rsidP="00000000" w:rsidRDefault="00000000" w:rsidRPr="00000000" w14:paraId="00000024">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Utilizar la Informática como una herramienta de análisis.</w:t>
      </w:r>
    </w:p>
    <w:p w:rsidR="00000000" w:rsidDel="00000000" w:rsidP="00000000" w:rsidRDefault="00000000" w:rsidRPr="00000000" w14:paraId="00000025">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Administrar, diseñar, dirigir, efectuar y controlar planes, programas y proyectos de comercialización, mediante la implementación de estrategias de comercialización, de comunicación, promoción y publicidad.</w:t>
      </w:r>
    </w:p>
    <w:p w:rsidR="00000000" w:rsidDel="00000000" w:rsidP="00000000" w:rsidRDefault="00000000" w:rsidRPr="00000000" w14:paraId="00000026">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Supervisar las áreas operativas.</w:t>
      </w:r>
    </w:p>
    <w:p w:rsidR="00000000" w:rsidDel="00000000" w:rsidP="00000000" w:rsidRDefault="00000000" w:rsidRPr="00000000" w14:paraId="00000027">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Generar proyectos que reconozcan la naturaleza social y económica de los fenómenos turísticos y sus variaciones en el tiempo y el espacio, con el fin de preservar y conservar el ambiente.</w:t>
      </w:r>
    </w:p>
    <w:p w:rsidR="00000000" w:rsidDel="00000000" w:rsidP="00000000" w:rsidRDefault="00000000" w:rsidRPr="00000000" w14:paraId="00000028">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Diseñar los proyectos turísticos respetando las normas de conservación del medio ambiente natural y el Patrimonio Cultural.</w:t>
      </w:r>
    </w:p>
    <w:p w:rsidR="00000000" w:rsidDel="00000000" w:rsidP="00000000" w:rsidRDefault="00000000" w:rsidRPr="00000000" w14:paraId="00000029">
      <w:pPr>
        <w:numPr>
          <w:ilvl w:val="0"/>
          <w:numId w:val="2"/>
        </w:numPr>
        <w:spacing w:after="0" w:line="240" w:lineRule="auto"/>
        <w:ind w:left="720" w:hanging="360"/>
        <w:rPr/>
      </w:pPr>
      <w:r w:rsidDel="00000000" w:rsidR="00000000" w:rsidRPr="00000000">
        <w:rPr>
          <w:rFonts w:ascii="Arial" w:cs="Arial" w:eastAsia="Arial" w:hAnsi="Arial"/>
          <w:sz w:val="24"/>
          <w:szCs w:val="24"/>
          <w:vertAlign w:val="baseline"/>
          <w:rtl w:val="0"/>
        </w:rPr>
        <w:t xml:space="preserve">Desarrollar acciones de capacitación y concientización de los integrantes de las comunidades.</w:t>
      </w:r>
    </w:p>
    <w:p w:rsidR="00000000" w:rsidDel="00000000" w:rsidP="00000000" w:rsidRDefault="00000000" w:rsidRPr="00000000" w14:paraId="0000002A">
      <w:pPr>
        <w:spacing w:after="0" w:line="24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B">
      <w:pPr>
        <w:spacing w:after="0" w:line="24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 consecuencia, el profesional Técnico Superior en Turismo debe estar capacitado para el desarrollo de estas competencias propias de su desempeño organizacional.</w:t>
      </w:r>
    </w:p>
    <w:p w:rsidR="00000000" w:rsidDel="00000000" w:rsidP="00000000" w:rsidRDefault="00000000" w:rsidRPr="00000000" w14:paraId="0000002C">
      <w:pPr>
        <w:spacing w:after="0" w:line="24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Esta Unidad Curricular se inserta en el 2º año del Campo De La Formación De Fundamento, con el objetivo de brindar a los futuros Técnicos Superiores en Turismo, las propuestas interdisciplinarias que le permitan el abordaje de los contenidos en las distintas unidades curriculares de la tecnicatura. Por lo tanto, articula verticalmente con la propuesta llevada a cabo en el 1º año de la tecnicatura y de manera transversal con la propuesta de 2° año.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Expectativas de logro</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Generar una actitud critica y de diagnostico, a través de una actitud científico técnica.</w:t>
      </w:r>
    </w:p>
    <w:p w:rsidR="00000000" w:rsidDel="00000000" w:rsidP="00000000" w:rsidRDefault="00000000" w:rsidRPr="00000000" w14:paraId="00000031">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Lograr una actitud positiva ante la innovación y el adelanto tecnológico</w:t>
      </w:r>
    </w:p>
    <w:p w:rsidR="00000000" w:rsidDel="00000000" w:rsidP="00000000" w:rsidRDefault="00000000" w:rsidRPr="00000000" w14:paraId="00000032">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Generar una toma de conciencia de la necesidad de realización de un constante perfeccionamiento, y desarrollo del auto-aprendizaje.</w:t>
      </w:r>
    </w:p>
    <w:p w:rsidR="00000000" w:rsidDel="00000000" w:rsidP="00000000" w:rsidRDefault="00000000" w:rsidRPr="00000000" w14:paraId="00000033">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Generar capacidad de adaptación a nuevos sistemas de trabajo.</w:t>
      </w:r>
    </w:p>
    <w:p w:rsidR="00000000" w:rsidDel="00000000" w:rsidP="00000000" w:rsidRDefault="00000000" w:rsidRPr="00000000" w14:paraId="00000034">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Posibilitar el aprendizaje simultaneo de la teoría y de la practica, ya que toda práctica esta sustentada en un principio teórico, y ambos guardan entre si una relación de interdependencia en la construcción del conocimiento, que es indivisible.</w:t>
      </w:r>
    </w:p>
    <w:p w:rsidR="00000000" w:rsidDel="00000000" w:rsidP="00000000" w:rsidRDefault="00000000" w:rsidRPr="00000000" w14:paraId="00000035">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Reconocer los elementos teóricos básicos para una gestión eficiente.</w:t>
      </w:r>
    </w:p>
    <w:p w:rsidR="00000000" w:rsidDel="00000000" w:rsidP="00000000" w:rsidRDefault="00000000" w:rsidRPr="00000000" w14:paraId="00000036">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Dominar los principios de administración y organización aplicables a una empresa turística.</w:t>
      </w:r>
    </w:p>
    <w:p w:rsidR="00000000" w:rsidDel="00000000" w:rsidP="00000000" w:rsidRDefault="00000000" w:rsidRPr="00000000" w14:paraId="00000037">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Diseño de una organización adecuada a diferentes tipos de empresas de turismo.</w:t>
      </w:r>
    </w:p>
    <w:p w:rsidR="00000000" w:rsidDel="00000000" w:rsidP="00000000" w:rsidRDefault="00000000" w:rsidRPr="00000000" w14:paraId="00000038">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Elaborar planes de negocios y estándares de calidad adecuados a una empresa de turismo.</w:t>
      </w:r>
    </w:p>
    <w:p w:rsidR="00000000" w:rsidDel="00000000" w:rsidP="00000000" w:rsidRDefault="00000000" w:rsidRPr="00000000" w14:paraId="00000039">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Supervisar áreas operativas.</w:t>
      </w:r>
    </w:p>
    <w:p w:rsidR="00000000" w:rsidDel="00000000" w:rsidP="00000000" w:rsidRDefault="00000000" w:rsidRPr="00000000" w14:paraId="0000003A">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Elaborar informes técnicos.</w:t>
      </w:r>
    </w:p>
    <w:p w:rsidR="00000000" w:rsidDel="00000000" w:rsidP="00000000" w:rsidRDefault="00000000" w:rsidRPr="00000000" w14:paraId="0000003B">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Diagnosticar, diseñar, liderar, gestionar, organizar emprendimientos turísticos privados y públicos.</w:t>
      </w:r>
    </w:p>
    <w:p w:rsidR="00000000" w:rsidDel="00000000" w:rsidP="00000000" w:rsidRDefault="00000000" w:rsidRPr="00000000" w14:paraId="0000003C">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Generar proyectos que reconozcan la naturaleza social y económica de los fenómenos turísticos y sus variaciones en tiempo y en el espacio, con el fin de preservar y conservar el medio ambiente.</w:t>
      </w:r>
    </w:p>
    <w:p w:rsidR="00000000" w:rsidDel="00000000" w:rsidP="00000000" w:rsidRDefault="00000000" w:rsidRPr="00000000" w14:paraId="0000003D">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Efectuar análisis de mercado.</w:t>
      </w:r>
    </w:p>
    <w:p w:rsidR="00000000" w:rsidDel="00000000" w:rsidP="00000000" w:rsidRDefault="00000000" w:rsidRPr="00000000" w14:paraId="0000003E">
      <w:pPr>
        <w:numPr>
          <w:ilvl w:val="1"/>
          <w:numId w:val="1"/>
        </w:numPr>
        <w:spacing w:after="0" w:line="240" w:lineRule="auto"/>
        <w:ind w:left="1353" w:hanging="360"/>
        <w:jc w:val="both"/>
        <w:rPr>
          <w:sz w:val="24"/>
          <w:szCs w:val="24"/>
        </w:rPr>
      </w:pPr>
      <w:r w:rsidDel="00000000" w:rsidR="00000000" w:rsidRPr="00000000">
        <w:rPr>
          <w:rFonts w:ascii="Arial" w:cs="Arial" w:eastAsia="Arial" w:hAnsi="Arial"/>
          <w:sz w:val="24"/>
          <w:szCs w:val="24"/>
          <w:vertAlign w:val="baseline"/>
          <w:rtl w:val="0"/>
        </w:rPr>
        <w:t xml:space="preserve">Utilizar la Informática como una herramienta de análisis.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CONTENIDOS ACADÉMICOS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3"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 1</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3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Principios básicos de la Teoría de la Administración. Administración como ciencia y profesión. Las organizaciones. Organizaciones de servicios turísticos. La administración: planificación, organización, dirección y control. Las funciones administrativas. Habilidades administrativas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Definición y estructura de la organización. Principios de organización. Tipos de organización aplicables al turismo. La departamentalización: fundamentos. Análisis de los departamentos, el personal, y las relaciones departamentales. Mecanismos de coordinación. Partes de la organización. Las comunicaciones en la organización. Compras y control de existencias. Estructura y funcionamiento de las organizaciones. Modelos. Organización formal e informal. La Organización y su contexto.</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35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 2</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Conceptualización de las Agencias de Viajes. Antecedentes. Clasificación de las Agencias de Viajes. Normativa. Organización de una agencia de viajes. Las agencias de viajes dentro del sistema turístico. La oferta de servicios. El rol del profesional en Turismo en el funcionamiento de una Agencia de Viajes. Programas y directrices de calidad para agencias de viajes. Clasificación de Productos Turísticos. La comercialización de servicios turísticos. Turismo Receptivo: las Agencias de viajes como herramientas de difusión y promoción.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35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 3</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 mercado turístico. Caracterización y clasificación. El turismo emisivo en Argentina. Perfil del turista. Productos turísticos regionales. Principales tour operadores. Principales productos turísticos europeos para el mercado argentino. Grandes operadores. Productos turísticos internacionales.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Coherencia interna de la propuesta</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profesional técnico superior en Turismo debe dotarse de los recursos conceptuales y operativos que le permitan asumir decisiones fundamentadas y adecuadas a los contextos y a los tiempos respectivamente.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esto durante la cursada se realizarán distintos prácticos centrados en la apropiación, conceptualización, aplicación y resolución de diversas problemáticas organizacionales en empresas de turismo.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Intervención didáctica</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docente será orientador, en el proceso de enseñanza-aprendizaje, teniendo como propósito formar técnicos que desarrollen la capacidad innovadora y reflexiva en la aplicación de los conocimientos adquiridos, con capacidad de recrear las problemáticas observadas y viabilizar soluciones acordes a las necesidades organizacionales.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Atención al impacto de la propuesta en la práctica profesional</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propuesta didáctica esa orientada a fortalecer el perfil científico, técnico y profesional que deben caracterizar la solidez de su formación y su compromiso con la sociedad de que forman parte. Ya que el Técnico Superior en Turismo deberá comprender la complejidad del sistema turístico, interpretar sus variaciones, anticiparse a ellas y generar proyectos y propuestas innovadoras y sustentables, posibilitando y potenciando el desarrollo de este sector de la economía nacional.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profesional debe estar capacitado para comprender la Actividad Turística como un todo y conocer los impactos sociales, culturales, económicos, y ambientales, de modo tal que su quehacer contribuya al desarrollo del país formulando, evaluando y desarrollando proyectos de nuevos productos de acuerdo al mercado local y cumpliendo la legislación correspondiente.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Actuando de acuerdo con los códigos de comportamiento social, empresarial y legal, adoptando las normas éticas y morales que la función exige y comprender las distintas formas que adopta la actividad en los diferentes países.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Presupuesto de tiempo</w:t>
      </w:r>
      <w:r w:rsidDel="00000000" w:rsidR="00000000" w:rsidRPr="00000000">
        <w:rPr>
          <w:rtl w:val="0"/>
        </w:rPr>
      </w:r>
    </w:p>
    <w:p w:rsidR="00000000" w:rsidDel="00000000" w:rsidP="00000000" w:rsidRDefault="00000000" w:rsidRPr="00000000" w14:paraId="00000064">
      <w:pPr>
        <w:spacing w:after="0" w:before="80" w:line="240" w:lineRule="auto"/>
        <w:ind w:left="357"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 acuerdo al diseño curricular contamos con 32 semanas de clase, de 3 horas módulos por semana (96 horas módulos), divididos estos en dos tramos o cuatrimestres.</w:t>
      </w:r>
    </w:p>
    <w:p w:rsidR="00000000" w:rsidDel="00000000" w:rsidP="00000000" w:rsidRDefault="00000000" w:rsidRPr="00000000" w14:paraId="00000065">
      <w:pPr>
        <w:spacing w:after="0" w:before="80" w:line="240" w:lineRule="auto"/>
        <w:ind w:left="357"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Cada encuentro generara la realización de un trabajo práctico presencial y otro domiciliario. Tendrá carácter grupal o individual de acuerdo a las necesidades de la cursada.</w:t>
      </w:r>
    </w:p>
    <w:p w:rsidR="00000000" w:rsidDel="00000000" w:rsidP="00000000" w:rsidRDefault="00000000" w:rsidRPr="00000000" w14:paraId="00000066">
      <w:pPr>
        <w:spacing w:after="0" w:before="80" w:line="240" w:lineRule="auto"/>
        <w:ind w:left="360"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7">
      <w:pPr>
        <w:spacing w:after="0" w:before="80" w:line="240" w:lineRule="auto"/>
        <w:ind w:left="360" w:firstLine="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8">
      <w:pPr>
        <w:spacing w:after="0" w:before="80" w:line="240" w:lineRule="auto"/>
        <w:ind w:left="36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Unidad 1: 10 a 12 semanas</w:t>
      </w:r>
      <w:r w:rsidDel="00000000" w:rsidR="00000000" w:rsidRPr="00000000">
        <w:rPr>
          <w:rtl w:val="0"/>
        </w:rPr>
      </w:r>
    </w:p>
    <w:p w:rsidR="00000000" w:rsidDel="00000000" w:rsidP="00000000" w:rsidRDefault="00000000" w:rsidRPr="00000000" w14:paraId="00000069">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Trabajos individuales y grupales domiciliarios.</w:t>
      </w:r>
    </w:p>
    <w:p w:rsidR="00000000" w:rsidDel="00000000" w:rsidP="00000000" w:rsidRDefault="00000000" w:rsidRPr="00000000" w14:paraId="0000006A">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1º Trabajo Práctico integrador.</w:t>
      </w:r>
    </w:p>
    <w:p w:rsidR="00000000" w:rsidDel="00000000" w:rsidP="00000000" w:rsidRDefault="00000000" w:rsidRPr="00000000" w14:paraId="0000006B">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1º Evaluación escrita individual o grupal</w:t>
      </w:r>
    </w:p>
    <w:p w:rsidR="00000000" w:rsidDel="00000000" w:rsidP="00000000" w:rsidRDefault="00000000" w:rsidRPr="00000000" w14:paraId="0000006C">
      <w:pPr>
        <w:spacing w:after="0" w:before="80" w:line="240" w:lineRule="auto"/>
        <w:ind w:left="36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Unidad 2: 10 a 12 semanas</w:t>
      </w:r>
      <w:r w:rsidDel="00000000" w:rsidR="00000000" w:rsidRPr="00000000">
        <w:rPr>
          <w:rtl w:val="0"/>
        </w:rPr>
      </w:r>
    </w:p>
    <w:p w:rsidR="00000000" w:rsidDel="00000000" w:rsidP="00000000" w:rsidRDefault="00000000" w:rsidRPr="00000000" w14:paraId="0000006D">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Trabajos individuales y grupales domiciliarios.</w:t>
      </w:r>
    </w:p>
    <w:p w:rsidR="00000000" w:rsidDel="00000000" w:rsidP="00000000" w:rsidRDefault="00000000" w:rsidRPr="00000000" w14:paraId="0000006E">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2º Trabajo Práctico integrador. Incorporación de TICs.</w:t>
      </w:r>
    </w:p>
    <w:p w:rsidR="00000000" w:rsidDel="00000000" w:rsidP="00000000" w:rsidRDefault="00000000" w:rsidRPr="00000000" w14:paraId="0000006F">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2º Evaluación escrita individual o grupal</w:t>
      </w:r>
    </w:p>
    <w:p w:rsidR="00000000" w:rsidDel="00000000" w:rsidP="00000000" w:rsidRDefault="00000000" w:rsidRPr="00000000" w14:paraId="00000070">
      <w:pPr>
        <w:spacing w:after="0" w:before="80" w:line="240" w:lineRule="auto"/>
        <w:ind w:left="360" w:firstLine="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Unidad 2: 10 a 12 semanas</w:t>
      </w:r>
      <w:r w:rsidDel="00000000" w:rsidR="00000000" w:rsidRPr="00000000">
        <w:rPr>
          <w:rtl w:val="0"/>
        </w:rPr>
      </w:r>
    </w:p>
    <w:p w:rsidR="00000000" w:rsidDel="00000000" w:rsidP="00000000" w:rsidRDefault="00000000" w:rsidRPr="00000000" w14:paraId="00000071">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Trabajos individuales y grupales domiciliarios.</w:t>
      </w:r>
    </w:p>
    <w:p w:rsidR="00000000" w:rsidDel="00000000" w:rsidP="00000000" w:rsidRDefault="00000000" w:rsidRPr="00000000" w14:paraId="00000072">
      <w:pPr>
        <w:spacing w:after="0" w:before="80" w:line="240" w:lineRule="auto"/>
        <w:ind w:left="36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3º Trabajo Práctico integrador. Incorporación de TICs. Presentación multimedia.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 final de campo (integrador de los contenidos adquiridos).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Recursos</w:t>
      </w:r>
      <w:r w:rsidDel="00000000" w:rsidR="00000000" w:rsidRPr="00000000">
        <w:rPr>
          <w:rtl w:val="0"/>
        </w:rPr>
      </w:r>
    </w:p>
    <w:p w:rsidR="00000000" w:rsidDel="00000000" w:rsidP="00000000" w:rsidRDefault="00000000" w:rsidRPr="00000000" w14:paraId="00000077">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Pizarrón, tiza, borrador.</w:t>
      </w:r>
    </w:p>
    <w:p w:rsidR="00000000" w:rsidDel="00000000" w:rsidP="00000000" w:rsidRDefault="00000000" w:rsidRPr="00000000" w14:paraId="00000078">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Mapas conceptuales, esquemas.</w:t>
      </w:r>
    </w:p>
    <w:p w:rsidR="00000000" w:rsidDel="00000000" w:rsidP="00000000" w:rsidRDefault="00000000" w:rsidRPr="00000000" w14:paraId="00000079">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Videos informativos, películas.</w:t>
      </w:r>
    </w:p>
    <w:p w:rsidR="00000000" w:rsidDel="00000000" w:rsidP="00000000" w:rsidRDefault="00000000" w:rsidRPr="00000000" w14:paraId="0000007A">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Dinámicas de equipo.</w:t>
      </w:r>
    </w:p>
    <w:p w:rsidR="00000000" w:rsidDel="00000000" w:rsidP="00000000" w:rsidRDefault="00000000" w:rsidRPr="00000000" w14:paraId="0000007B">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Páginas WEB relacionadas con los temas</w:t>
      </w:r>
    </w:p>
    <w:p w:rsidR="00000000" w:rsidDel="00000000" w:rsidP="00000000" w:rsidRDefault="00000000" w:rsidRPr="00000000" w14:paraId="0000007C">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Proyección y análisis de videos</w:t>
      </w:r>
    </w:p>
    <w:p w:rsidR="00000000" w:rsidDel="00000000" w:rsidP="00000000" w:rsidRDefault="00000000" w:rsidRPr="00000000" w14:paraId="0000007D">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Artículos de divulgación científica.</w:t>
      </w:r>
    </w:p>
    <w:p w:rsidR="00000000" w:rsidDel="00000000" w:rsidP="00000000" w:rsidRDefault="00000000" w:rsidRPr="00000000" w14:paraId="0000007E">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Trabajos Prácticos.</w:t>
      </w:r>
    </w:p>
    <w:p w:rsidR="00000000" w:rsidDel="00000000" w:rsidP="00000000" w:rsidRDefault="00000000" w:rsidRPr="00000000" w14:paraId="0000007F">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Trabajos de Campo.</w:t>
      </w:r>
    </w:p>
    <w:p w:rsidR="00000000" w:rsidDel="00000000" w:rsidP="00000000" w:rsidRDefault="00000000" w:rsidRPr="00000000" w14:paraId="00000080">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Guías de lecturas.</w:t>
      </w:r>
    </w:p>
    <w:p w:rsidR="00000000" w:rsidDel="00000000" w:rsidP="00000000" w:rsidRDefault="00000000" w:rsidRPr="00000000" w14:paraId="00000081">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Presentaciones Multimedia.</w:t>
      </w:r>
    </w:p>
    <w:p w:rsidR="00000000" w:rsidDel="00000000" w:rsidP="00000000" w:rsidRDefault="00000000" w:rsidRPr="00000000" w14:paraId="00000082">
      <w:pPr>
        <w:numPr>
          <w:ilvl w:val="0"/>
          <w:numId w:val="6"/>
        </w:numPr>
        <w:spacing w:after="0" w:before="80" w:line="240" w:lineRule="auto"/>
        <w:ind w:left="1080" w:hanging="360"/>
        <w:jc w:val="both"/>
        <w:rPr>
          <w:sz w:val="24"/>
          <w:szCs w:val="24"/>
        </w:rPr>
      </w:pPr>
      <w:r w:rsidDel="00000000" w:rsidR="00000000" w:rsidRPr="00000000">
        <w:rPr>
          <w:rFonts w:ascii="Arial" w:cs="Arial" w:eastAsia="Arial" w:hAnsi="Arial"/>
          <w:sz w:val="24"/>
          <w:szCs w:val="24"/>
          <w:vertAlign w:val="baseline"/>
          <w:rtl w:val="0"/>
        </w:rPr>
        <w:t xml:space="preserve">Inclusión de nuevas tecnologías Tics.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Bibliografía del docente</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ADMINISTRACIÓN.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Stephen. P. Robbins, Mary Coulter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PEARSON EDUCATCION.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2005.</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 22 LEYES INMUTABLES DEL MARKETING.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Ries, Jack Trout.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MCGRAW HILL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1999.</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ECONOMÍA Y TURISMO.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Mochón, Francisco.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MCGRAW HILL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2008.</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ADMINISTRACIÓN DE OPERACIONES.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 Krajwesky, Larry Pitzman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PEARSON PRENTICE HALL.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NORMAS DE CALIDAD, RESPONSABILIDAD SOCIAL Y TURISMO.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Martínez, Adriana Norma - Rosenfeld, Adriana.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LADEVI EDICIONES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2011.</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 EMPRESAS TURISTICAS Y SU ADMINISTRACION.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A.A.V.V. (María Alejandra Gazzera – Lorena Lombardo – Mónica Vogel – Fabiana Quadrini)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UNIV.NAC.COMAHUE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2010.</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INTRODUCCIÓN A LA ADMINISTRACIÓN ESTRATÉGICA HOTELERA.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Paniego, Alfredo Gustavo.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LADEVI EDICIONES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2011.</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ADMINISTRACIÓN.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Hitt Michael.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PEARSON PRENTICE HALL.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2006.</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MARKETING PARA TURISMO. Philip Kotler. PEARSON EDUCATION.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2004.</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LEY NACIONAL DEL TURISMO. LEY 25997/2004</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36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Bibliografía del alumno</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360"/>
        <w:jc w:val="left"/>
        <w:rPr>
          <w:rFonts w:ascii="Overlock" w:cs="Overlock" w:eastAsia="Overlock" w:hAnsi="Overlock"/>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ADMINISTRACIÓN.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Stephen. P. Robbins, Mary Coulter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PEARSON EDUCATCION.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2005.</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ECONOMÍA Y TURISMO.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Mochón, Francisco.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MCGRAW HILL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2008.</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 EMPRESAS TURISTICAS Y SU ADMINISTRACION.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A.A.V.V. (María Alejandra Gazzera – Lorena Lombardo – Mónica Vogel – Fabiana Quadrini)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UNIV.NAC.COMAHUE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2010.</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NORMAS DE CALIDAD, RESPONSABILIDAD SOCIAL Y TURISMO.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Martínez, Adriana Norma - Rosenfeld, Adriana.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LADEVI EDICIONES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2011.</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LEY NACIONAL DEL TURISMO. LEY 25997/2004</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Evaluación</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marco evaluativo se desprende de la resolución 4043/09 que la Dirección de Educación Superior dispuso par el nivel terciario.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promoción refiere a las condiciones de acreditación y evaluación de las unidades curriculares; el régimen de calificación, el de equivalencias y correlatividades.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promoción se realizará por cada unidad curricular (materia, Espacio de Definición Institucional, Práctica docente y profesional, talleres, seminarios, ateneos entre otras) que conformen los diseños o Planes de Estudios de las carreras.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trayecto de evaluación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comprenderá instancias de seguimiento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lo largo de la cursada y una instancia final de cierre.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709"/>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Trabajos prácticos áulicos y domiciliarios.</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709"/>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Evaluaciones individuales o grupales 1(una) por cuatrimestre.</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709"/>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Trabajo de campo (integrador de los contenidos adquiridos).</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709"/>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Coloquio integrador.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utilizará el sistema de calificación decimal de 1 (uno) a 10 (diez) puntos.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acreditar cada unidad curricular, el estudiante deberá obtener una calificación de 4 (cuatro) o más puntos, salvo lo previsto para la acreditación sin examen final, en cuyo caso el estudiante deberá obtener una calificación no menor a 7 (siete) puntos.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docente entregará a los estudiantes, al iniciar el curso, el proyecto de la unidad curricular que dé cuenta de los trabajos prácticos y evaluaciones previstos, con los correspondientes criterios de aprobación.  Asimismo, realizaré la devolución personal, de los resultados obtenidos en las evaluaciones, especificando logros, dificultades y errores, en los plazos definidos en los acuerdos institucionales.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la modalidad de cursada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Régimen de cursada presencial:</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estudiante deberá cumplir con los siguientes requerimientos: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Asistencia al 60% de clases de unidades curriculares y no menos de 80% de asistencia a prácticas de campo docente y profesional.</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Aprobación de las instancias de evaluación previstas con nota mínima de 4(cuatro) puntos para acceder a la instancia de acreditación con examen final o de 7 (siete) puntos para la promoción sin examen final, en la realización de una práctica de campo obligatoria.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porcentajes de asistencia requeridos anteriormente podrán ser reducidos si el CAI considera justificadas las inasistencias por razones de salud, laborales y/o socioeconómicas. En estos casos el estudiante deberá cumplimentar las actividades que indique el docente para regularizar su situación académica.</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Régimen de estudiante libre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inicio de cada ciclo lectivo el estudiante podrá inscribirse como libre hasta en un 30% de las unidades curriculares con formato materia establecidas por año en el diseño curricular.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los casos que los estudiantes hayan cursado una/s unidad/des cunicular/res con modalidad presencial y deban volver a cursar en el ciclo lectivo siguiente, podrán optar por este régimen independientemente del porcentaje establecido.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Quedan exceptuados de este régimen los Talleres, Seminarios, Ateneos y los Campos de la Práctica Docente y de la Práctica Profesional</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haberse cerrado la carrera o cambiando el plan de estudios, la evaluación final se ajustará al programa desarrollado en el último año en que se dictó la unidad curricular.</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acreditación podrá resolverse:</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Régimen de estudiantes de cursada presencial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a) Con examen final:</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b) Sin examen final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de la acreditación con examen final:</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condiciones generales para obtener la acreditación con examen final:</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709"/>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aprobación de la cursada.</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709"/>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aprobación del/las unidades curriculares determinadas como correlativas en los planes de estudio</w:t>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709"/>
        <w:jc w:val="both"/>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aprobación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 examen final ante una comisión evaluadora presidida por el profesor de la unidad curricular e integrada como mínimo por un miembro más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 evaluación final será calificada por escala numérica de 1 a 10. La nota de aprobación será de 4 (cuatro) o más sin centésimos.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institución organizará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tres turnos de acreditación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final al año, en noviembre/diciembre, febrero/marzo y julio/agosto, con un mínimo de cinco llamados anuales, distribuidos en los tres turnos mencionados. El alumno podrá presentarse a un llamado por turno.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institución podrá abrir turnos intermedios de acreditación por razones debidamente fundamentadas y con acuerdo del CAI, según pautas definidas en el PIE.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 De la acreditación sin examen final</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Instituto podrá definir en el Plan de Evaluación Institucional de los Aprendizajes un sistema de acreditación sin examen final que no podrá exceder del 30% e las unidades curriculares previstas por año., fundamentando y explicitando exhaustivamente los criterios, formas y dispositivos a utilizar en estos casos. Las propuestas de los docentes se considerarán en el CAI el que avalará su implementación.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 el caso de las Unidades Curriculares seleccionados para la acreditación sin examen final, los estudiantes deberán obtener un promedio final de calificaciones de 7 (siete) o más puntos. Los estudiantes que no alcanzaren la calificación estipulada precedentemente y obtuvieran 4 (cuatro) puntos como mínimo, pasarán automáticamente al sistema de cursada con examen final.</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Régimen de estudiantes libres: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Podrán presentarse en las instancias de acreditación final previstas para el régimen presencial y no presencial, correspondientes al período en que se registraron como estudiantes libres. Deberán rendir con la propuesta pedagógica vigente al momento de su inscripción.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evaluación final tendrá una instancia escrita y una oral. Se deberá aprobar la instancia escrita para pasar a la oral.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calificación resultará del promedio de ambas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Para la acreditación final se debe obtener 4 (cuatro) o más puntos.</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la validez de la cursada de cada unidad curricular</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aprobación de la cursada tendrá una validez de cinco años.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Pasados dos años de la aprobación de la cursada, la evaluación final se ajustará a la propuesta de cátedra vigente al momento de la presentación del estudiante a la instancia de acreditación.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644" w:right="0" w:hanging="360"/>
        <w:jc w:val="left"/>
        <w:rPr>
          <w:rFonts w:ascii="Overlock" w:cs="Overlock" w:eastAsia="Overlock" w:hAnsi="Overlock"/>
          <w:b w:val="0"/>
          <w:i w:val="0"/>
          <w:smallCaps w:val="0"/>
          <w:strike w:val="0"/>
          <w:color w:val="000000"/>
          <w:sz w:val="28"/>
          <w:szCs w:val="28"/>
          <w:u w:val="none"/>
          <w:shd w:fill="auto" w:val="clear"/>
        </w:rPr>
      </w:pPr>
      <w:r w:rsidDel="00000000" w:rsidR="00000000" w:rsidRPr="00000000">
        <w:rPr>
          <w:rFonts w:ascii="Overlock" w:cs="Overlock" w:eastAsia="Overlock" w:hAnsi="Overlock"/>
          <w:b w:val="1"/>
          <w:i w:val="0"/>
          <w:smallCaps w:val="0"/>
          <w:strike w:val="0"/>
          <w:color w:val="000000"/>
          <w:sz w:val="28"/>
          <w:szCs w:val="28"/>
          <w:u w:val="none"/>
          <w:shd w:fill="auto" w:val="clear"/>
          <w:vertAlign w:val="baseline"/>
          <w:rtl w:val="0"/>
        </w:rPr>
        <w:t xml:space="preserve">Propuesta de actividades de extensión</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dinámica de la economía, hoy hace que el sector de servicios de nuestro país se encuentre atravesando un fuerte crecimiento, y por consiguiente el ámbito profesional del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Técnico Superior en Turismo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vincula al desarrollo de este sector económico. Por ello deberá realizar una propuesta aproximativa respecto de las organizaciones circundantes vinculadas a la actividad turística, con el propósito de identificar y estudiar aquellos aspectos administrativos y organizacionales, por los cuales las empresas se destacan y se posicionan en el mercado respectivo. A partir de este estudio crearán una empresa virtual de viajes de turismo, la que deberán defender en un coloquio integrador.</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dicho estudio se realizará una base de datos que se modificara año tras año, con la información relevante de las empresas que hacen a las competencias de su perfil técnico.</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5840" w:w="12240" w:orient="portrait"/>
      <w:pgMar w:bottom="1418" w:top="1418"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re Baskerville"/>
  <w:font w:name="Arial"/>
  <w:font w:name="Arial Rounded"/>
  <w:font w:name="Arial Black"/>
  <w:font w:name="Overlock"/>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Organización y administración de empresas                                                                       Pág.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vertAlign w:val="baseline"/>
      </w:rPr>
    </w:lvl>
    <w:lvl w:ilvl="1">
      <w:start w:val="1"/>
      <w:numFmt w:val="bullet"/>
      <w:lvlText w:val="●"/>
      <w:lvlJc w:val="left"/>
      <w:pPr>
        <w:ind w:left="1353" w:hanging="359.9999999999999"/>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